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3EFC" w14:textId="78FFD4DC" w:rsidR="00D762B5" w:rsidRDefault="00D762B5" w:rsidP="00E90888">
      <w:pPr>
        <w:rPr>
          <w:lang w:val="en-US"/>
        </w:rPr>
      </w:pPr>
    </w:p>
    <w:p w14:paraId="7C132628" w14:textId="77777777" w:rsidR="00D762B5" w:rsidRDefault="00D762B5" w:rsidP="00D762B5">
      <w:pPr>
        <w:jc w:val="center"/>
        <w:rPr>
          <w:lang w:val="en-US"/>
        </w:rPr>
      </w:pPr>
    </w:p>
    <w:p w14:paraId="05ABB9DB" w14:textId="77777777" w:rsidR="00F1417D" w:rsidRDefault="00F1417D" w:rsidP="00F1417D">
      <w:pPr>
        <w:rPr>
          <w:lang w:eastAsia="en-GB"/>
        </w:rPr>
      </w:pPr>
      <w:r>
        <w:rPr>
          <w:noProof/>
        </w:rPr>
        <mc:AlternateContent>
          <mc:Choice Requires="wps">
            <w:drawing>
              <wp:anchor distT="45720" distB="45720" distL="114300" distR="114300" simplePos="0" relativeHeight="251696128" behindDoc="0" locked="0" layoutInCell="1" allowOverlap="1" wp14:anchorId="3A9C3F88" wp14:editId="3E5CD8E0">
                <wp:simplePos x="0" y="0"/>
                <wp:positionH relativeFrom="column">
                  <wp:posOffset>-57150</wp:posOffset>
                </wp:positionH>
                <wp:positionV relativeFrom="paragraph">
                  <wp:posOffset>173989</wp:posOffset>
                </wp:positionV>
                <wp:extent cx="6286500" cy="9810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81075"/>
                        </a:xfrm>
                        <a:prstGeom prst="rect">
                          <a:avLst/>
                        </a:prstGeom>
                        <a:noFill/>
                        <a:ln w="9525">
                          <a:noFill/>
                          <a:miter lim="800000"/>
                          <a:headEnd/>
                          <a:tailEnd/>
                        </a:ln>
                      </wps:spPr>
                      <wps:txbx>
                        <w:txbxContent>
                          <w:sdt>
                            <w:sdtPr>
                              <w:rPr>
                                <w:rStyle w:val="ListParagraph"/>
                                <w:b/>
                                <w:szCs w:val="26"/>
                              </w:rPr>
                              <w:alias w:val="Title"/>
                              <w:id w:val="-1148579836"/>
                              <w:dataBinding w:prefixMappings="xmlns:ns0='http://purl.org/dc/elements/1.1/' xmlns:ns1='http://schemas.openxmlformats.org/package/2006/metadata/core-properties' " w:xpath="/ns1:coreProperties[1]/ns0:title[1]" w:storeItemID="{6C3C8BC8-F283-45AE-878A-BAB7291924A1}"/>
                              <w:text/>
                            </w:sdtPr>
                            <w:sdtContent>
                              <w:p w14:paraId="65EF4D28" w14:textId="2112570A" w:rsidR="00F1417D" w:rsidRPr="00F1417D" w:rsidRDefault="00641EB7" w:rsidP="00F1417D">
                                <w:pPr>
                                  <w:pStyle w:val="Title"/>
                                  <w:ind w:right="877"/>
                                  <w:jc w:val="left"/>
                                  <w:rPr>
                                    <w:b/>
                                  </w:rPr>
                                </w:pPr>
                                <w:r w:rsidRPr="00641EB7">
                                  <w:rPr>
                                    <w:rStyle w:val="ListParagraph"/>
                                    <w:b/>
                                    <w:szCs w:val="26"/>
                                  </w:rPr>
                                  <w:t xml:space="preserve">Moonraker Motorcycles Ltd </w:t>
                                </w:r>
                                <w:r>
                                  <w:rPr>
                                    <w:rStyle w:val="ListParagraph"/>
                                    <w:b/>
                                    <w:szCs w:val="26"/>
                                  </w:rPr>
                                  <w:t xml:space="preserve">                    </w:t>
                                </w:r>
                                <w:r w:rsidRPr="00641EB7">
                                  <w:rPr>
                                    <w:rStyle w:val="ListParagraph"/>
                                    <w:b/>
                                    <w:szCs w:val="26"/>
                                  </w:rPr>
                                  <w:t>Anti-Money Laundering Policy</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9C3F88" id="_x0000_t202" coordsize="21600,21600" o:spt="202" path="m,l,21600r21600,l21600,xe">
                <v:stroke joinstyle="miter"/>
                <v:path gradientshapeok="t" o:connecttype="rect"/>
              </v:shapetype>
              <v:shape id="Text Box 14" o:spid="_x0000_s1026" type="#_x0000_t202" style="position:absolute;left:0;text-align:left;margin-left:-4.5pt;margin-top:13.7pt;width:495pt;height:77.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" filled="f" stroked="f">
                <v:textbox>
                  <w:txbxContent>
                    <w:sdt>
                      <w:sdtPr>
                        <w:rPr>
                          <w:rStyle w:val="ListParagraph"/>
                          <w:b/>
                          <w:szCs w:val="26"/>
                        </w:rPr>
                        <w:alias w:val="Title"/>
                        <w:id w:val="-1148579836"/>
                        <w:dataBinding w:prefixMappings="xmlns:ns0='http://purl.org/dc/elements/1.1/' xmlns:ns1='http://schemas.openxmlformats.org/package/2006/metadata/core-properties' " w:xpath="/ns1:coreProperties[1]/ns0:title[1]" w:storeItemID="{6C3C8BC8-F283-45AE-878A-BAB7291924A1}"/>
                        <w:text/>
                      </w:sdtPr>
                      <w:sdtContent>
                        <w:p w14:paraId="65EF4D28" w14:textId="2112570A" w:rsidR="00F1417D" w:rsidRPr="00F1417D" w:rsidRDefault="00641EB7" w:rsidP="00F1417D">
                          <w:pPr>
                            <w:pStyle w:val="Title"/>
                            <w:ind w:right="877"/>
                            <w:jc w:val="left"/>
                            <w:rPr>
                              <w:b/>
                            </w:rPr>
                          </w:pPr>
                          <w:r w:rsidRPr="00641EB7">
                            <w:rPr>
                              <w:rStyle w:val="ListParagraph"/>
                              <w:b/>
                              <w:szCs w:val="26"/>
                            </w:rPr>
                            <w:t xml:space="preserve">Moonraker Motorcycles Ltd </w:t>
                          </w:r>
                          <w:r>
                            <w:rPr>
                              <w:rStyle w:val="ListParagraph"/>
                              <w:b/>
                              <w:szCs w:val="26"/>
                            </w:rPr>
                            <w:t xml:space="preserve">                    </w:t>
                          </w:r>
                          <w:r w:rsidRPr="00641EB7">
                            <w:rPr>
                              <w:rStyle w:val="ListParagraph"/>
                              <w:b/>
                              <w:szCs w:val="26"/>
                            </w:rPr>
                            <w:t>Anti-Money Laundering Policy</w:t>
                          </w:r>
                        </w:p>
                      </w:sdtContent>
                    </w:sdt>
                  </w:txbxContent>
                </v:textbox>
              </v:shape>
            </w:pict>
          </mc:Fallback>
        </mc:AlternateContent>
      </w:r>
    </w:p>
    <w:p w14:paraId="2805BAA3" w14:textId="77777777" w:rsidR="00F1417D" w:rsidRDefault="00F1417D" w:rsidP="00F1417D">
      <w:pPr>
        <w:pStyle w:val="TOCHeading"/>
      </w:pPr>
    </w:p>
    <w:p w14:paraId="7ED5BBE7" w14:textId="77777777" w:rsidR="00F1417D" w:rsidRDefault="00F1417D" w:rsidP="00F1417D">
      <w:pPr>
        <w:rPr>
          <w:lang w:val="en-US"/>
        </w:rPr>
      </w:pPr>
    </w:p>
    <w:p w14:paraId="68969210" w14:textId="77777777" w:rsidR="00F1417D" w:rsidRDefault="00F1417D" w:rsidP="00F1417D">
      <w:pPr>
        <w:rPr>
          <w:lang w:val="en-US"/>
        </w:rPr>
      </w:pPr>
    </w:p>
    <w:p w14:paraId="736E6778" w14:textId="77777777" w:rsidR="00F1417D" w:rsidRDefault="00F1417D" w:rsidP="00F1417D">
      <w:pPr>
        <w:pStyle w:val="TOCHeading"/>
      </w:pPr>
      <w:r>
        <w:t>Contents</w:t>
      </w:r>
    </w:p>
    <w:sdt>
      <w:sdtPr>
        <w:id w:val="128136520"/>
        <w:docPartObj>
          <w:docPartGallery w:val="Table of Contents"/>
          <w:docPartUnique/>
        </w:docPartObj>
      </w:sdtPr>
      <w:sdtContent>
        <w:p w14:paraId="6D8469DE" w14:textId="77777777" w:rsidR="00F1417D" w:rsidRDefault="00F1417D" w:rsidP="00F1417D">
          <w:pPr>
            <w:rPr>
              <w:lang w:val="en-US"/>
            </w:rPr>
          </w:pPr>
        </w:p>
        <w:p w14:paraId="6B6DD405" w14:textId="31406E67" w:rsidR="00AF3640" w:rsidRDefault="00F1417D">
          <w:pPr>
            <w:pStyle w:val="TOC1"/>
            <w:rPr>
              <w:rFonts w:asciiTheme="minorHAnsi" w:eastAsiaTheme="minorEastAsia" w:hAnsiTheme="minorHAnsi"/>
              <w:noProof/>
              <w:color w:val="auto"/>
              <w:sz w:val="22"/>
              <w:lang w:eastAsia="en-GB"/>
            </w:rPr>
          </w:pPr>
          <w:r>
            <w:fldChar w:fldCharType="begin"/>
          </w:r>
          <w:r>
            <w:instrText xml:space="preserve"> TOC \o "1-1" \h \z \t "Heading 2,2,Quote,2" </w:instrText>
          </w:r>
          <w:r>
            <w:fldChar w:fldCharType="separate"/>
          </w:r>
          <w:hyperlink w:anchor="_Toc80788296" w:history="1">
            <w:r w:rsidR="00AF3640" w:rsidRPr="00FE02E1">
              <w:rPr>
                <w:rStyle w:val="Hyperlink"/>
                <w:noProof/>
              </w:rPr>
              <w:t>1</w:t>
            </w:r>
            <w:r w:rsidR="00AF3640">
              <w:rPr>
                <w:rFonts w:asciiTheme="minorHAnsi" w:eastAsiaTheme="minorEastAsia" w:hAnsiTheme="minorHAnsi"/>
                <w:noProof/>
                <w:color w:val="auto"/>
                <w:sz w:val="22"/>
                <w:lang w:eastAsia="en-GB"/>
              </w:rPr>
              <w:tab/>
            </w:r>
            <w:r w:rsidR="00AF3640" w:rsidRPr="00FE02E1">
              <w:rPr>
                <w:rStyle w:val="Hyperlink"/>
                <w:noProof/>
              </w:rPr>
              <w:t>Purpose</w:t>
            </w:r>
            <w:r w:rsidR="00AF3640">
              <w:rPr>
                <w:noProof/>
                <w:webHidden/>
              </w:rPr>
              <w:tab/>
            </w:r>
            <w:r w:rsidR="00AF3640">
              <w:rPr>
                <w:noProof/>
                <w:webHidden/>
              </w:rPr>
              <w:fldChar w:fldCharType="begin"/>
            </w:r>
            <w:r w:rsidR="00AF3640">
              <w:rPr>
                <w:noProof/>
                <w:webHidden/>
              </w:rPr>
              <w:instrText xml:space="preserve"> PAGEREF _Toc80788296 \h </w:instrText>
            </w:r>
            <w:r w:rsidR="00AF3640">
              <w:rPr>
                <w:noProof/>
                <w:webHidden/>
              </w:rPr>
            </w:r>
            <w:r w:rsidR="00AF3640">
              <w:rPr>
                <w:noProof/>
                <w:webHidden/>
              </w:rPr>
              <w:fldChar w:fldCharType="separate"/>
            </w:r>
            <w:r w:rsidR="004D2C96">
              <w:rPr>
                <w:noProof/>
                <w:webHidden/>
              </w:rPr>
              <w:t>1</w:t>
            </w:r>
            <w:r w:rsidR="00AF3640">
              <w:rPr>
                <w:noProof/>
                <w:webHidden/>
              </w:rPr>
              <w:fldChar w:fldCharType="end"/>
            </w:r>
          </w:hyperlink>
        </w:p>
        <w:p w14:paraId="6F6BA658" w14:textId="46F7788D" w:rsidR="00AF3640" w:rsidRDefault="00000000">
          <w:pPr>
            <w:pStyle w:val="TOC1"/>
            <w:rPr>
              <w:rFonts w:asciiTheme="minorHAnsi" w:eastAsiaTheme="minorEastAsia" w:hAnsiTheme="minorHAnsi"/>
              <w:noProof/>
              <w:color w:val="auto"/>
              <w:sz w:val="22"/>
              <w:lang w:eastAsia="en-GB"/>
            </w:rPr>
          </w:pPr>
          <w:hyperlink w:anchor="_Toc80788297" w:history="1">
            <w:r w:rsidR="00AF3640" w:rsidRPr="00FE02E1">
              <w:rPr>
                <w:rStyle w:val="Hyperlink"/>
                <w:noProof/>
                <w:lang w:val="en-US"/>
              </w:rPr>
              <w:t>2</w:t>
            </w:r>
            <w:r w:rsidR="00AF3640">
              <w:rPr>
                <w:rFonts w:asciiTheme="minorHAnsi" w:eastAsiaTheme="minorEastAsia" w:hAnsiTheme="minorHAnsi"/>
                <w:noProof/>
                <w:color w:val="auto"/>
                <w:sz w:val="22"/>
                <w:lang w:eastAsia="en-GB"/>
              </w:rPr>
              <w:tab/>
            </w:r>
            <w:r w:rsidR="00AF3640" w:rsidRPr="00FE02E1">
              <w:rPr>
                <w:rStyle w:val="Hyperlink"/>
                <w:noProof/>
              </w:rPr>
              <w:t>Scope</w:t>
            </w:r>
            <w:r w:rsidR="00AF3640">
              <w:rPr>
                <w:noProof/>
                <w:webHidden/>
              </w:rPr>
              <w:tab/>
            </w:r>
            <w:r w:rsidR="00AF3640">
              <w:rPr>
                <w:noProof/>
                <w:webHidden/>
              </w:rPr>
              <w:fldChar w:fldCharType="begin"/>
            </w:r>
            <w:r w:rsidR="00AF3640">
              <w:rPr>
                <w:noProof/>
                <w:webHidden/>
              </w:rPr>
              <w:instrText xml:space="preserve"> PAGEREF _Toc80788297 \h </w:instrText>
            </w:r>
            <w:r w:rsidR="00AF3640">
              <w:rPr>
                <w:noProof/>
                <w:webHidden/>
              </w:rPr>
            </w:r>
            <w:r w:rsidR="00AF3640">
              <w:rPr>
                <w:noProof/>
                <w:webHidden/>
              </w:rPr>
              <w:fldChar w:fldCharType="separate"/>
            </w:r>
            <w:r w:rsidR="004D2C96">
              <w:rPr>
                <w:noProof/>
                <w:webHidden/>
              </w:rPr>
              <w:t>1</w:t>
            </w:r>
            <w:r w:rsidR="00AF3640">
              <w:rPr>
                <w:noProof/>
                <w:webHidden/>
              </w:rPr>
              <w:fldChar w:fldCharType="end"/>
            </w:r>
          </w:hyperlink>
        </w:p>
        <w:p w14:paraId="0FD978C8" w14:textId="777FE81C" w:rsidR="00AF3640" w:rsidRDefault="00000000">
          <w:pPr>
            <w:pStyle w:val="TOC1"/>
            <w:rPr>
              <w:rFonts w:asciiTheme="minorHAnsi" w:eastAsiaTheme="minorEastAsia" w:hAnsiTheme="minorHAnsi"/>
              <w:noProof/>
              <w:color w:val="auto"/>
              <w:sz w:val="22"/>
              <w:lang w:eastAsia="en-GB"/>
            </w:rPr>
          </w:pPr>
          <w:hyperlink w:anchor="_Toc80788298" w:history="1">
            <w:r w:rsidR="00AF3640" w:rsidRPr="00FE02E1">
              <w:rPr>
                <w:rStyle w:val="Hyperlink"/>
                <w:noProof/>
              </w:rPr>
              <w:t>3</w:t>
            </w:r>
            <w:r w:rsidR="00AF3640">
              <w:rPr>
                <w:rFonts w:asciiTheme="minorHAnsi" w:eastAsiaTheme="minorEastAsia" w:hAnsiTheme="minorHAnsi"/>
                <w:noProof/>
                <w:color w:val="auto"/>
                <w:sz w:val="22"/>
                <w:lang w:eastAsia="en-GB"/>
              </w:rPr>
              <w:tab/>
            </w:r>
            <w:r w:rsidR="00AF3640" w:rsidRPr="00FE02E1">
              <w:rPr>
                <w:rStyle w:val="Hyperlink"/>
                <w:noProof/>
              </w:rPr>
              <w:t>General guide</w:t>
            </w:r>
            <w:r w:rsidR="00AF3640">
              <w:rPr>
                <w:noProof/>
                <w:webHidden/>
              </w:rPr>
              <w:tab/>
            </w:r>
            <w:r w:rsidR="00AF3640">
              <w:rPr>
                <w:noProof/>
                <w:webHidden/>
              </w:rPr>
              <w:fldChar w:fldCharType="begin"/>
            </w:r>
            <w:r w:rsidR="00AF3640">
              <w:rPr>
                <w:noProof/>
                <w:webHidden/>
              </w:rPr>
              <w:instrText xml:space="preserve"> PAGEREF _Toc80788298 \h </w:instrText>
            </w:r>
            <w:r w:rsidR="00AF3640">
              <w:rPr>
                <w:noProof/>
                <w:webHidden/>
              </w:rPr>
            </w:r>
            <w:r w:rsidR="00AF3640">
              <w:rPr>
                <w:noProof/>
                <w:webHidden/>
              </w:rPr>
              <w:fldChar w:fldCharType="separate"/>
            </w:r>
            <w:r w:rsidR="004D2C96">
              <w:rPr>
                <w:noProof/>
                <w:webHidden/>
              </w:rPr>
              <w:t>1</w:t>
            </w:r>
            <w:r w:rsidR="00AF3640">
              <w:rPr>
                <w:noProof/>
                <w:webHidden/>
              </w:rPr>
              <w:fldChar w:fldCharType="end"/>
            </w:r>
          </w:hyperlink>
        </w:p>
        <w:p w14:paraId="24FB390B" w14:textId="540ECE24" w:rsidR="00AF3640" w:rsidRDefault="00000000">
          <w:pPr>
            <w:pStyle w:val="TOC1"/>
            <w:rPr>
              <w:rFonts w:asciiTheme="minorHAnsi" w:eastAsiaTheme="minorEastAsia" w:hAnsiTheme="minorHAnsi"/>
              <w:noProof/>
              <w:color w:val="auto"/>
              <w:sz w:val="22"/>
              <w:lang w:eastAsia="en-GB"/>
            </w:rPr>
          </w:pPr>
          <w:hyperlink w:anchor="_Toc80788299" w:history="1">
            <w:r w:rsidR="00AF3640" w:rsidRPr="00FE02E1">
              <w:rPr>
                <w:rStyle w:val="Hyperlink"/>
                <w:noProof/>
              </w:rPr>
              <w:t>4</w:t>
            </w:r>
            <w:r w:rsidR="00AF3640">
              <w:rPr>
                <w:rFonts w:asciiTheme="minorHAnsi" w:eastAsiaTheme="minorEastAsia" w:hAnsiTheme="minorHAnsi"/>
                <w:noProof/>
                <w:color w:val="auto"/>
                <w:sz w:val="22"/>
                <w:lang w:eastAsia="en-GB"/>
              </w:rPr>
              <w:tab/>
            </w:r>
            <w:r w:rsidR="00AF3640" w:rsidRPr="00FE02E1">
              <w:rPr>
                <w:rStyle w:val="Hyperlink"/>
                <w:noProof/>
              </w:rPr>
              <w:t>MLRO Responsibilities</w:t>
            </w:r>
            <w:r w:rsidR="00AF3640">
              <w:rPr>
                <w:noProof/>
                <w:webHidden/>
              </w:rPr>
              <w:tab/>
            </w:r>
            <w:r w:rsidR="00AF3640">
              <w:rPr>
                <w:noProof/>
                <w:webHidden/>
              </w:rPr>
              <w:fldChar w:fldCharType="begin"/>
            </w:r>
            <w:r w:rsidR="00AF3640">
              <w:rPr>
                <w:noProof/>
                <w:webHidden/>
              </w:rPr>
              <w:instrText xml:space="preserve"> PAGEREF _Toc80788299 \h </w:instrText>
            </w:r>
            <w:r w:rsidR="00AF3640">
              <w:rPr>
                <w:noProof/>
                <w:webHidden/>
              </w:rPr>
            </w:r>
            <w:r w:rsidR="00AF3640">
              <w:rPr>
                <w:noProof/>
                <w:webHidden/>
              </w:rPr>
              <w:fldChar w:fldCharType="separate"/>
            </w:r>
            <w:r w:rsidR="004D2C96">
              <w:rPr>
                <w:noProof/>
                <w:webHidden/>
              </w:rPr>
              <w:t>4</w:t>
            </w:r>
            <w:r w:rsidR="00AF3640">
              <w:rPr>
                <w:noProof/>
                <w:webHidden/>
              </w:rPr>
              <w:fldChar w:fldCharType="end"/>
            </w:r>
          </w:hyperlink>
        </w:p>
        <w:p w14:paraId="54C8312A" w14:textId="4663F0E0" w:rsidR="00AF3640" w:rsidRDefault="00000000">
          <w:pPr>
            <w:pStyle w:val="TOC1"/>
            <w:rPr>
              <w:rFonts w:asciiTheme="minorHAnsi" w:eastAsiaTheme="minorEastAsia" w:hAnsiTheme="minorHAnsi"/>
              <w:noProof/>
              <w:color w:val="auto"/>
              <w:sz w:val="22"/>
              <w:lang w:eastAsia="en-GB"/>
            </w:rPr>
          </w:pPr>
          <w:hyperlink w:anchor="_Toc80788300" w:history="1">
            <w:r w:rsidR="00AF3640" w:rsidRPr="00FE02E1">
              <w:rPr>
                <w:rStyle w:val="Hyperlink"/>
                <w:noProof/>
              </w:rPr>
              <w:t>5</w:t>
            </w:r>
            <w:r w:rsidR="00AF3640">
              <w:rPr>
                <w:rFonts w:asciiTheme="minorHAnsi" w:eastAsiaTheme="minorEastAsia" w:hAnsiTheme="minorHAnsi"/>
                <w:noProof/>
                <w:color w:val="auto"/>
                <w:sz w:val="22"/>
                <w:lang w:eastAsia="en-GB"/>
              </w:rPr>
              <w:tab/>
            </w:r>
            <w:r w:rsidR="00AF3640" w:rsidRPr="00FE02E1">
              <w:rPr>
                <w:rStyle w:val="Hyperlink"/>
                <w:noProof/>
              </w:rPr>
              <w:t>Risk Based Approach</w:t>
            </w:r>
            <w:r w:rsidR="00AF3640">
              <w:rPr>
                <w:noProof/>
                <w:webHidden/>
              </w:rPr>
              <w:tab/>
            </w:r>
            <w:r w:rsidR="00AF3640">
              <w:rPr>
                <w:noProof/>
                <w:webHidden/>
              </w:rPr>
              <w:fldChar w:fldCharType="begin"/>
            </w:r>
            <w:r w:rsidR="00AF3640">
              <w:rPr>
                <w:noProof/>
                <w:webHidden/>
              </w:rPr>
              <w:instrText xml:space="preserve"> PAGEREF _Toc80788300 \h </w:instrText>
            </w:r>
            <w:r w:rsidR="00AF3640">
              <w:rPr>
                <w:noProof/>
                <w:webHidden/>
              </w:rPr>
            </w:r>
            <w:r w:rsidR="00AF3640">
              <w:rPr>
                <w:noProof/>
                <w:webHidden/>
              </w:rPr>
              <w:fldChar w:fldCharType="separate"/>
            </w:r>
            <w:r w:rsidR="004D2C96">
              <w:rPr>
                <w:noProof/>
                <w:webHidden/>
              </w:rPr>
              <w:t>5</w:t>
            </w:r>
            <w:r w:rsidR="00AF3640">
              <w:rPr>
                <w:noProof/>
                <w:webHidden/>
              </w:rPr>
              <w:fldChar w:fldCharType="end"/>
            </w:r>
          </w:hyperlink>
        </w:p>
        <w:p w14:paraId="1F12EDC1" w14:textId="7E05016C" w:rsidR="00AF3640" w:rsidRDefault="00000000">
          <w:pPr>
            <w:pStyle w:val="TOC1"/>
            <w:rPr>
              <w:rFonts w:asciiTheme="minorHAnsi" w:eastAsiaTheme="minorEastAsia" w:hAnsiTheme="minorHAnsi"/>
              <w:noProof/>
              <w:color w:val="auto"/>
              <w:sz w:val="22"/>
              <w:lang w:eastAsia="en-GB"/>
            </w:rPr>
          </w:pPr>
          <w:hyperlink w:anchor="_Toc80788301" w:history="1">
            <w:r w:rsidR="00AF3640" w:rsidRPr="00FE02E1">
              <w:rPr>
                <w:rStyle w:val="Hyperlink"/>
                <w:noProof/>
              </w:rPr>
              <w:t>6</w:t>
            </w:r>
            <w:r w:rsidR="00AF3640">
              <w:rPr>
                <w:rFonts w:asciiTheme="minorHAnsi" w:eastAsiaTheme="minorEastAsia" w:hAnsiTheme="minorHAnsi"/>
                <w:noProof/>
                <w:color w:val="auto"/>
                <w:sz w:val="22"/>
                <w:lang w:eastAsia="en-GB"/>
              </w:rPr>
              <w:tab/>
            </w:r>
            <w:r w:rsidR="00AF3640" w:rsidRPr="00FE02E1">
              <w:rPr>
                <w:rStyle w:val="Hyperlink"/>
                <w:noProof/>
              </w:rPr>
              <w:t>Suspicious activity indicators</w:t>
            </w:r>
            <w:r w:rsidR="00AF3640">
              <w:rPr>
                <w:noProof/>
                <w:webHidden/>
              </w:rPr>
              <w:tab/>
            </w:r>
            <w:r w:rsidR="00AF3640">
              <w:rPr>
                <w:noProof/>
                <w:webHidden/>
              </w:rPr>
              <w:fldChar w:fldCharType="begin"/>
            </w:r>
            <w:r w:rsidR="00AF3640">
              <w:rPr>
                <w:noProof/>
                <w:webHidden/>
              </w:rPr>
              <w:instrText xml:space="preserve"> PAGEREF _Toc80788301 \h </w:instrText>
            </w:r>
            <w:r w:rsidR="00AF3640">
              <w:rPr>
                <w:noProof/>
                <w:webHidden/>
              </w:rPr>
            </w:r>
            <w:r w:rsidR="00AF3640">
              <w:rPr>
                <w:noProof/>
                <w:webHidden/>
              </w:rPr>
              <w:fldChar w:fldCharType="separate"/>
            </w:r>
            <w:r w:rsidR="004D2C96">
              <w:rPr>
                <w:noProof/>
                <w:webHidden/>
              </w:rPr>
              <w:t>7</w:t>
            </w:r>
            <w:r w:rsidR="00AF3640">
              <w:rPr>
                <w:noProof/>
                <w:webHidden/>
              </w:rPr>
              <w:fldChar w:fldCharType="end"/>
            </w:r>
          </w:hyperlink>
        </w:p>
        <w:p w14:paraId="3437C241" w14:textId="2AB32081" w:rsidR="00AF3640" w:rsidRDefault="00000000">
          <w:pPr>
            <w:pStyle w:val="TOC1"/>
            <w:rPr>
              <w:rFonts w:asciiTheme="minorHAnsi" w:eastAsiaTheme="minorEastAsia" w:hAnsiTheme="minorHAnsi"/>
              <w:noProof/>
              <w:color w:val="auto"/>
              <w:sz w:val="22"/>
              <w:lang w:eastAsia="en-GB"/>
            </w:rPr>
          </w:pPr>
          <w:hyperlink w:anchor="_Toc80788302" w:history="1">
            <w:r w:rsidR="00AF3640" w:rsidRPr="00FE02E1">
              <w:rPr>
                <w:rStyle w:val="Hyperlink"/>
                <w:noProof/>
              </w:rPr>
              <w:t>7</w:t>
            </w:r>
            <w:r w:rsidR="00AF3640">
              <w:rPr>
                <w:rFonts w:asciiTheme="minorHAnsi" w:eastAsiaTheme="minorEastAsia" w:hAnsiTheme="minorHAnsi"/>
                <w:noProof/>
                <w:color w:val="auto"/>
                <w:sz w:val="22"/>
                <w:lang w:eastAsia="en-GB"/>
              </w:rPr>
              <w:tab/>
            </w:r>
            <w:r w:rsidR="00AF3640" w:rsidRPr="00FE02E1">
              <w:rPr>
                <w:rStyle w:val="Hyperlink"/>
                <w:noProof/>
              </w:rPr>
              <w:t>Customer Due Diligence</w:t>
            </w:r>
            <w:r w:rsidR="00AF3640">
              <w:rPr>
                <w:noProof/>
                <w:webHidden/>
              </w:rPr>
              <w:tab/>
            </w:r>
            <w:r w:rsidR="00AF3640">
              <w:rPr>
                <w:noProof/>
                <w:webHidden/>
              </w:rPr>
              <w:fldChar w:fldCharType="begin"/>
            </w:r>
            <w:r w:rsidR="00AF3640">
              <w:rPr>
                <w:noProof/>
                <w:webHidden/>
              </w:rPr>
              <w:instrText xml:space="preserve"> PAGEREF _Toc80788302 \h </w:instrText>
            </w:r>
            <w:r w:rsidR="00AF3640">
              <w:rPr>
                <w:noProof/>
                <w:webHidden/>
              </w:rPr>
            </w:r>
            <w:r w:rsidR="00AF3640">
              <w:rPr>
                <w:noProof/>
                <w:webHidden/>
              </w:rPr>
              <w:fldChar w:fldCharType="separate"/>
            </w:r>
            <w:r w:rsidR="004D2C96">
              <w:rPr>
                <w:noProof/>
                <w:webHidden/>
              </w:rPr>
              <w:t>7</w:t>
            </w:r>
            <w:r w:rsidR="00AF3640">
              <w:rPr>
                <w:noProof/>
                <w:webHidden/>
              </w:rPr>
              <w:fldChar w:fldCharType="end"/>
            </w:r>
          </w:hyperlink>
        </w:p>
        <w:p w14:paraId="5A2419D8" w14:textId="5FEE1836" w:rsidR="00AF3640" w:rsidRDefault="00000000">
          <w:pPr>
            <w:pStyle w:val="TOC1"/>
            <w:rPr>
              <w:rFonts w:asciiTheme="minorHAnsi" w:eastAsiaTheme="minorEastAsia" w:hAnsiTheme="minorHAnsi"/>
              <w:noProof/>
              <w:color w:val="auto"/>
              <w:sz w:val="22"/>
              <w:lang w:eastAsia="en-GB"/>
            </w:rPr>
          </w:pPr>
          <w:hyperlink w:anchor="_Toc80788303" w:history="1">
            <w:r w:rsidR="00AF3640" w:rsidRPr="00FE02E1">
              <w:rPr>
                <w:rStyle w:val="Hyperlink"/>
                <w:noProof/>
              </w:rPr>
              <w:t>8</w:t>
            </w:r>
            <w:r w:rsidR="00AF3640">
              <w:rPr>
                <w:rFonts w:asciiTheme="minorHAnsi" w:eastAsiaTheme="minorEastAsia" w:hAnsiTheme="minorHAnsi"/>
                <w:noProof/>
                <w:color w:val="auto"/>
                <w:sz w:val="22"/>
                <w:lang w:eastAsia="en-GB"/>
              </w:rPr>
              <w:tab/>
            </w:r>
            <w:r w:rsidR="00AF3640" w:rsidRPr="00FE02E1">
              <w:rPr>
                <w:rStyle w:val="Hyperlink"/>
                <w:noProof/>
              </w:rPr>
              <w:t>Verification of client identity</w:t>
            </w:r>
            <w:r w:rsidR="00AF3640">
              <w:rPr>
                <w:noProof/>
                <w:webHidden/>
              </w:rPr>
              <w:tab/>
            </w:r>
            <w:r w:rsidR="00AF3640">
              <w:rPr>
                <w:noProof/>
                <w:webHidden/>
              </w:rPr>
              <w:fldChar w:fldCharType="begin"/>
            </w:r>
            <w:r w:rsidR="00AF3640">
              <w:rPr>
                <w:noProof/>
                <w:webHidden/>
              </w:rPr>
              <w:instrText xml:space="preserve"> PAGEREF _Toc80788303 \h </w:instrText>
            </w:r>
            <w:r w:rsidR="00AF3640">
              <w:rPr>
                <w:noProof/>
                <w:webHidden/>
              </w:rPr>
            </w:r>
            <w:r w:rsidR="00AF3640">
              <w:rPr>
                <w:noProof/>
                <w:webHidden/>
              </w:rPr>
              <w:fldChar w:fldCharType="separate"/>
            </w:r>
            <w:r w:rsidR="004D2C96">
              <w:rPr>
                <w:noProof/>
                <w:webHidden/>
              </w:rPr>
              <w:t>10</w:t>
            </w:r>
            <w:r w:rsidR="00AF3640">
              <w:rPr>
                <w:noProof/>
                <w:webHidden/>
              </w:rPr>
              <w:fldChar w:fldCharType="end"/>
            </w:r>
          </w:hyperlink>
        </w:p>
        <w:p w14:paraId="36005254" w14:textId="1067D0D3" w:rsidR="00AF3640" w:rsidRDefault="00000000">
          <w:pPr>
            <w:pStyle w:val="TOC1"/>
            <w:rPr>
              <w:rFonts w:asciiTheme="minorHAnsi" w:eastAsiaTheme="minorEastAsia" w:hAnsiTheme="minorHAnsi"/>
              <w:noProof/>
              <w:color w:val="auto"/>
              <w:sz w:val="22"/>
              <w:lang w:eastAsia="en-GB"/>
            </w:rPr>
          </w:pPr>
          <w:hyperlink w:anchor="_Toc80788304" w:history="1">
            <w:r w:rsidR="00AF3640" w:rsidRPr="00FE02E1">
              <w:rPr>
                <w:rStyle w:val="Hyperlink"/>
                <w:rFonts w:cs="Arial"/>
                <w:noProof/>
              </w:rPr>
              <w:t>9</w:t>
            </w:r>
            <w:r w:rsidR="00AF3640">
              <w:rPr>
                <w:rFonts w:asciiTheme="minorHAnsi" w:eastAsiaTheme="minorEastAsia" w:hAnsiTheme="minorHAnsi"/>
                <w:noProof/>
                <w:color w:val="auto"/>
                <w:sz w:val="22"/>
                <w:lang w:eastAsia="en-GB"/>
              </w:rPr>
              <w:tab/>
            </w:r>
            <w:r w:rsidR="00AF3640" w:rsidRPr="00FE02E1">
              <w:rPr>
                <w:rStyle w:val="Hyperlink"/>
                <w:rFonts w:cs="Arial"/>
                <w:noProof/>
              </w:rPr>
              <w:t>Corporate Customers</w:t>
            </w:r>
            <w:r w:rsidR="00AF3640">
              <w:rPr>
                <w:noProof/>
                <w:webHidden/>
              </w:rPr>
              <w:tab/>
            </w:r>
            <w:r w:rsidR="00AF3640">
              <w:rPr>
                <w:noProof/>
                <w:webHidden/>
              </w:rPr>
              <w:fldChar w:fldCharType="begin"/>
            </w:r>
            <w:r w:rsidR="00AF3640">
              <w:rPr>
                <w:noProof/>
                <w:webHidden/>
              </w:rPr>
              <w:instrText xml:space="preserve"> PAGEREF _Toc80788304 \h </w:instrText>
            </w:r>
            <w:r w:rsidR="00AF3640">
              <w:rPr>
                <w:noProof/>
                <w:webHidden/>
              </w:rPr>
            </w:r>
            <w:r w:rsidR="00AF3640">
              <w:rPr>
                <w:noProof/>
                <w:webHidden/>
              </w:rPr>
              <w:fldChar w:fldCharType="separate"/>
            </w:r>
            <w:r w:rsidR="004D2C96">
              <w:rPr>
                <w:noProof/>
                <w:webHidden/>
              </w:rPr>
              <w:t>16</w:t>
            </w:r>
            <w:r w:rsidR="00AF3640">
              <w:rPr>
                <w:noProof/>
                <w:webHidden/>
              </w:rPr>
              <w:fldChar w:fldCharType="end"/>
            </w:r>
          </w:hyperlink>
        </w:p>
        <w:p w14:paraId="456338B5" w14:textId="44C8B964" w:rsidR="00AF3640" w:rsidRDefault="00000000">
          <w:pPr>
            <w:pStyle w:val="TOC1"/>
            <w:rPr>
              <w:rFonts w:asciiTheme="minorHAnsi" w:eastAsiaTheme="minorEastAsia" w:hAnsiTheme="minorHAnsi"/>
              <w:noProof/>
              <w:color w:val="auto"/>
              <w:sz w:val="22"/>
              <w:lang w:eastAsia="en-GB"/>
            </w:rPr>
          </w:pPr>
          <w:hyperlink w:anchor="_Toc80788305" w:history="1">
            <w:r w:rsidR="00AF3640" w:rsidRPr="00FE02E1">
              <w:rPr>
                <w:rStyle w:val="Hyperlink"/>
                <w:noProof/>
              </w:rPr>
              <w:t>10</w:t>
            </w:r>
            <w:r w:rsidR="00AF3640">
              <w:rPr>
                <w:rFonts w:asciiTheme="minorHAnsi" w:eastAsiaTheme="minorEastAsia" w:hAnsiTheme="minorHAnsi"/>
                <w:noProof/>
                <w:color w:val="auto"/>
                <w:sz w:val="22"/>
                <w:lang w:eastAsia="en-GB"/>
              </w:rPr>
              <w:tab/>
            </w:r>
            <w:r w:rsidR="00AF3640" w:rsidRPr="00FE02E1">
              <w:rPr>
                <w:rStyle w:val="Hyperlink"/>
                <w:noProof/>
              </w:rPr>
              <w:t>Further information</w:t>
            </w:r>
            <w:r w:rsidR="00AF3640">
              <w:rPr>
                <w:noProof/>
                <w:webHidden/>
              </w:rPr>
              <w:tab/>
            </w:r>
            <w:r w:rsidR="00AF3640">
              <w:rPr>
                <w:noProof/>
                <w:webHidden/>
              </w:rPr>
              <w:fldChar w:fldCharType="begin"/>
            </w:r>
            <w:r w:rsidR="00AF3640">
              <w:rPr>
                <w:noProof/>
                <w:webHidden/>
              </w:rPr>
              <w:instrText xml:space="preserve"> PAGEREF _Toc80788305 \h </w:instrText>
            </w:r>
            <w:r w:rsidR="00AF3640">
              <w:rPr>
                <w:noProof/>
                <w:webHidden/>
              </w:rPr>
            </w:r>
            <w:r w:rsidR="00AF3640">
              <w:rPr>
                <w:noProof/>
                <w:webHidden/>
              </w:rPr>
              <w:fldChar w:fldCharType="separate"/>
            </w:r>
            <w:r w:rsidR="004D2C96">
              <w:rPr>
                <w:noProof/>
                <w:webHidden/>
              </w:rPr>
              <w:t>18</w:t>
            </w:r>
            <w:r w:rsidR="00AF3640">
              <w:rPr>
                <w:noProof/>
                <w:webHidden/>
              </w:rPr>
              <w:fldChar w:fldCharType="end"/>
            </w:r>
          </w:hyperlink>
        </w:p>
        <w:p w14:paraId="0A834994" w14:textId="51B1A4CE" w:rsidR="00AF3640" w:rsidRDefault="00000000">
          <w:pPr>
            <w:pStyle w:val="TOC1"/>
            <w:rPr>
              <w:rFonts w:asciiTheme="minorHAnsi" w:eastAsiaTheme="minorEastAsia" w:hAnsiTheme="minorHAnsi"/>
              <w:noProof/>
              <w:color w:val="auto"/>
              <w:sz w:val="22"/>
              <w:lang w:eastAsia="en-GB"/>
            </w:rPr>
          </w:pPr>
          <w:hyperlink w:anchor="_Toc80788306" w:history="1">
            <w:r w:rsidR="00AF3640" w:rsidRPr="00FE02E1">
              <w:rPr>
                <w:rStyle w:val="Hyperlink"/>
                <w:noProof/>
              </w:rPr>
              <w:t>11</w:t>
            </w:r>
            <w:r w:rsidR="00AF3640">
              <w:rPr>
                <w:rFonts w:asciiTheme="minorHAnsi" w:eastAsiaTheme="minorEastAsia" w:hAnsiTheme="minorHAnsi"/>
                <w:noProof/>
                <w:color w:val="auto"/>
                <w:sz w:val="22"/>
                <w:lang w:eastAsia="en-GB"/>
              </w:rPr>
              <w:tab/>
            </w:r>
            <w:r w:rsidR="00AF3640" w:rsidRPr="00FE02E1">
              <w:rPr>
                <w:rStyle w:val="Hyperlink"/>
                <w:noProof/>
              </w:rPr>
              <w:t>Policy owner</w:t>
            </w:r>
            <w:r w:rsidR="00AF3640">
              <w:rPr>
                <w:noProof/>
                <w:webHidden/>
              </w:rPr>
              <w:tab/>
            </w:r>
            <w:r w:rsidR="00AF3640">
              <w:rPr>
                <w:noProof/>
                <w:webHidden/>
              </w:rPr>
              <w:fldChar w:fldCharType="begin"/>
            </w:r>
            <w:r w:rsidR="00AF3640">
              <w:rPr>
                <w:noProof/>
                <w:webHidden/>
              </w:rPr>
              <w:instrText xml:space="preserve"> PAGEREF _Toc80788306 \h </w:instrText>
            </w:r>
            <w:r w:rsidR="00AF3640">
              <w:rPr>
                <w:noProof/>
                <w:webHidden/>
              </w:rPr>
            </w:r>
            <w:r w:rsidR="00AF3640">
              <w:rPr>
                <w:noProof/>
                <w:webHidden/>
              </w:rPr>
              <w:fldChar w:fldCharType="separate"/>
            </w:r>
            <w:r w:rsidR="004D2C96">
              <w:rPr>
                <w:noProof/>
                <w:webHidden/>
              </w:rPr>
              <w:t>18</w:t>
            </w:r>
            <w:r w:rsidR="00AF3640">
              <w:rPr>
                <w:noProof/>
                <w:webHidden/>
              </w:rPr>
              <w:fldChar w:fldCharType="end"/>
            </w:r>
          </w:hyperlink>
        </w:p>
        <w:p w14:paraId="69AA73BA" w14:textId="20C079AC" w:rsidR="00AF3640" w:rsidRDefault="00000000">
          <w:pPr>
            <w:pStyle w:val="TOC1"/>
            <w:rPr>
              <w:rFonts w:asciiTheme="minorHAnsi" w:eastAsiaTheme="minorEastAsia" w:hAnsiTheme="minorHAnsi"/>
              <w:noProof/>
              <w:color w:val="auto"/>
              <w:sz w:val="22"/>
              <w:lang w:eastAsia="en-GB"/>
            </w:rPr>
          </w:pPr>
          <w:hyperlink w:anchor="_Toc80788307" w:history="1">
            <w:r w:rsidR="00AF3640" w:rsidRPr="00FE02E1">
              <w:rPr>
                <w:rStyle w:val="Hyperlink"/>
                <w:noProof/>
              </w:rPr>
              <w:t>12</w:t>
            </w:r>
            <w:r w:rsidR="00AF3640">
              <w:rPr>
                <w:rFonts w:asciiTheme="minorHAnsi" w:eastAsiaTheme="minorEastAsia" w:hAnsiTheme="minorHAnsi"/>
                <w:noProof/>
                <w:color w:val="auto"/>
                <w:sz w:val="22"/>
                <w:lang w:eastAsia="en-GB"/>
              </w:rPr>
              <w:tab/>
            </w:r>
            <w:r w:rsidR="00AF3640" w:rsidRPr="00FE02E1">
              <w:rPr>
                <w:rStyle w:val="Hyperlink"/>
                <w:noProof/>
              </w:rPr>
              <w:t>Policy review date</w:t>
            </w:r>
            <w:r w:rsidR="00AF3640">
              <w:rPr>
                <w:noProof/>
                <w:webHidden/>
              </w:rPr>
              <w:tab/>
            </w:r>
            <w:r w:rsidR="00AF3640">
              <w:rPr>
                <w:noProof/>
                <w:webHidden/>
              </w:rPr>
              <w:fldChar w:fldCharType="begin"/>
            </w:r>
            <w:r w:rsidR="00AF3640">
              <w:rPr>
                <w:noProof/>
                <w:webHidden/>
              </w:rPr>
              <w:instrText xml:space="preserve"> PAGEREF _Toc80788307 \h </w:instrText>
            </w:r>
            <w:r w:rsidR="00AF3640">
              <w:rPr>
                <w:noProof/>
                <w:webHidden/>
              </w:rPr>
            </w:r>
            <w:r w:rsidR="00AF3640">
              <w:rPr>
                <w:noProof/>
                <w:webHidden/>
              </w:rPr>
              <w:fldChar w:fldCharType="separate"/>
            </w:r>
            <w:r w:rsidR="004D2C96">
              <w:rPr>
                <w:noProof/>
                <w:webHidden/>
              </w:rPr>
              <w:t>18</w:t>
            </w:r>
            <w:r w:rsidR="00AF3640">
              <w:rPr>
                <w:noProof/>
                <w:webHidden/>
              </w:rPr>
              <w:fldChar w:fldCharType="end"/>
            </w:r>
          </w:hyperlink>
        </w:p>
        <w:p w14:paraId="26022552" w14:textId="4B2692EB" w:rsidR="00F1417D" w:rsidRDefault="00F1417D" w:rsidP="00F1417D">
          <w:pPr>
            <w:rPr>
              <w:noProof/>
            </w:rPr>
          </w:pPr>
          <w:r>
            <w:fldChar w:fldCharType="end"/>
          </w:r>
        </w:p>
      </w:sdtContent>
    </w:sdt>
    <w:p w14:paraId="3B5E827F" w14:textId="77777777" w:rsidR="00F1417D" w:rsidRDefault="00F1417D" w:rsidP="00F1417D"/>
    <w:p w14:paraId="33C11575" w14:textId="77777777" w:rsidR="00F1417D" w:rsidRDefault="00F1417D" w:rsidP="00F1417D">
      <w:r>
        <w:br w:type="column"/>
      </w:r>
    </w:p>
    <w:p w14:paraId="116102BF" w14:textId="77777777" w:rsidR="00F1417D" w:rsidRDefault="00F1417D" w:rsidP="00F1417D">
      <w:pPr>
        <w:pStyle w:val="Heading1"/>
        <w:keepNext w:val="0"/>
        <w:numPr>
          <w:ilvl w:val="0"/>
          <w:numId w:val="3"/>
        </w:numPr>
        <w:ind w:left="851" w:hanging="851"/>
      </w:pPr>
      <w:bookmarkStart w:id="0" w:name="_Toc80788296"/>
      <w:r>
        <w:t>Purpose</w:t>
      </w:r>
      <w:bookmarkEnd w:id="0"/>
    </w:p>
    <w:p w14:paraId="11042586" w14:textId="0355BC93" w:rsidR="000F03A4" w:rsidRPr="000F03A4" w:rsidRDefault="000F03A4" w:rsidP="000F03A4">
      <w:pPr>
        <w:pStyle w:val="Heading2acontentwithoutH2title"/>
        <w:numPr>
          <w:ilvl w:val="0"/>
          <w:numId w:val="0"/>
        </w:numPr>
        <w:ind w:left="851"/>
        <w:rPr>
          <w:rStyle w:val="Heading2acontentwithoutH2titleChar"/>
        </w:rPr>
      </w:pPr>
      <w:bookmarkStart w:id="1" w:name="scope-of-this-policy"/>
      <w:bookmarkStart w:id="2" w:name="_Toc458776055"/>
      <w:bookmarkEnd w:id="1"/>
      <w:r w:rsidRPr="000F03A4">
        <w:rPr>
          <w:rStyle w:val="Heading2acontentwithoutH2titleChar"/>
        </w:rPr>
        <w:t>Money Laundering is the process by which criminals convert money or goods obtained illegally into legitimate funds.</w:t>
      </w:r>
    </w:p>
    <w:p w14:paraId="5D19144A" w14:textId="4A0973FE" w:rsidR="000F03A4" w:rsidRPr="000F03A4" w:rsidRDefault="000F03A4" w:rsidP="000F03A4">
      <w:pPr>
        <w:pStyle w:val="Heading2acontentwithoutH2title"/>
        <w:numPr>
          <w:ilvl w:val="0"/>
          <w:numId w:val="0"/>
        </w:numPr>
        <w:ind w:left="851"/>
        <w:rPr>
          <w:rStyle w:val="Heading2acontentwithoutH2titleChar"/>
        </w:rPr>
      </w:pPr>
      <w:r w:rsidRPr="000F03A4">
        <w:rPr>
          <w:rStyle w:val="Heading2acontentwithoutH2titleChar"/>
        </w:rPr>
        <w:t xml:space="preserve">Money Laundering Regulations were first introduced in the UK in 1993, with the aim of preventing criminals from being able to use the financial system to conceal the origins of criminal proceeds. The Financial Conduct Authority (FCA) considers firms undertaking the regulated activity of Credit Broking to be lower risk than those who firms who are undertaking credit lending activities. Nonetheless, all firms have a regulatory requirement under SYSC to have proportionate systems and controls to enable us to identify, assess, monitor and manage the risk of being involved in money laundering or fraudulent transactions.  Our firm also has a legal requirement to identify and report suspicious transactions under Proceeds of Crime Act (2000) (POCA) and the Terrorism Act. </w:t>
      </w:r>
    </w:p>
    <w:p w14:paraId="262C3A7E" w14:textId="77777777" w:rsidR="000F03A4" w:rsidRPr="000F03A4" w:rsidRDefault="000F03A4" w:rsidP="000F03A4">
      <w:pPr>
        <w:pStyle w:val="Heading2acontentwithoutH2title"/>
        <w:numPr>
          <w:ilvl w:val="0"/>
          <w:numId w:val="0"/>
        </w:numPr>
        <w:ind w:left="851"/>
        <w:rPr>
          <w:rStyle w:val="Heading2acontentwithoutH2titleChar"/>
        </w:rPr>
      </w:pPr>
      <w:r w:rsidRPr="000F03A4">
        <w:rPr>
          <w:rStyle w:val="Heading2acontentwithoutH2titleChar"/>
        </w:rPr>
        <w:t xml:space="preserve">This policy sets out both firm’s approach to Money Laundering. This policy is designed to work in conjunction with the following policies: </w:t>
      </w:r>
    </w:p>
    <w:p w14:paraId="09CCC4ED"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Anti-bribery &amp; Corruption Policy</w:t>
      </w:r>
    </w:p>
    <w:p w14:paraId="0FAB60B6"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Gifts, Inducements &amp; Hospitality Policy</w:t>
      </w:r>
    </w:p>
    <w:p w14:paraId="3CA9EAD4"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 xml:space="preserve">Financial Sanctions Policy </w:t>
      </w:r>
    </w:p>
    <w:p w14:paraId="5DA29025"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Fraud Policy</w:t>
      </w:r>
    </w:p>
    <w:p w14:paraId="4080C012"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 xml:space="preserve">Whistleblowing Policy </w:t>
      </w:r>
      <w:bookmarkStart w:id="3" w:name="Noteone"/>
      <w:bookmarkEnd w:id="3"/>
    </w:p>
    <w:p w14:paraId="7AD9B696" w14:textId="77777777" w:rsidR="00F1417D" w:rsidRDefault="00F1417D" w:rsidP="00F1417D">
      <w:pPr>
        <w:pStyle w:val="Heading1"/>
        <w:keepNext w:val="0"/>
        <w:numPr>
          <w:ilvl w:val="0"/>
          <w:numId w:val="3"/>
        </w:numPr>
        <w:spacing w:line="300" w:lineRule="auto"/>
        <w:ind w:left="851" w:hanging="851"/>
        <w:rPr>
          <w:lang w:val="en-US"/>
        </w:rPr>
      </w:pPr>
      <w:bookmarkStart w:id="4" w:name="_Toc80788297"/>
      <w:r>
        <w:t>Scope</w:t>
      </w:r>
      <w:bookmarkEnd w:id="2"/>
      <w:bookmarkEnd w:id="4"/>
    </w:p>
    <w:p w14:paraId="0D3E963A" w14:textId="6E2E841D" w:rsidR="00F1417D" w:rsidRDefault="00F1417D" w:rsidP="00F1417D">
      <w:pPr>
        <w:pStyle w:val="Heading2acontentwithoutH2title"/>
        <w:numPr>
          <w:ilvl w:val="1"/>
          <w:numId w:val="3"/>
        </w:numPr>
        <w:ind w:left="851" w:hanging="851"/>
        <w:rPr>
          <w:rStyle w:val="Heading2acontentwithoutH2titleChar"/>
        </w:rPr>
      </w:pPr>
      <w:r>
        <w:rPr>
          <w:rStyle w:val="Heading2acontentwithoutH2titleChar"/>
        </w:rPr>
        <w:t xml:space="preserve">This policy applies to all employees and workers </w:t>
      </w:r>
    </w:p>
    <w:p w14:paraId="35266437" w14:textId="73B11932" w:rsidR="000F03A4" w:rsidRDefault="000F03A4" w:rsidP="000F03A4">
      <w:pPr>
        <w:pStyle w:val="Heading1"/>
        <w:keepNext w:val="0"/>
        <w:numPr>
          <w:ilvl w:val="0"/>
          <w:numId w:val="3"/>
        </w:numPr>
        <w:spacing w:line="300" w:lineRule="auto"/>
        <w:ind w:left="851" w:hanging="851"/>
      </w:pPr>
      <w:bookmarkStart w:id="5" w:name="actions-taken"/>
      <w:bookmarkStart w:id="6" w:name="_Toc80788298"/>
      <w:bookmarkEnd w:id="5"/>
      <w:r w:rsidRPr="000F03A4">
        <w:t>General guide</w:t>
      </w:r>
      <w:bookmarkEnd w:id="6"/>
    </w:p>
    <w:p w14:paraId="6C209589" w14:textId="5EC65ABC" w:rsidR="000F03A4" w:rsidRPr="000F03A4" w:rsidRDefault="000F03A4" w:rsidP="000F03A4">
      <w:pPr>
        <w:pStyle w:val="Heading2acontentwithoutH2title"/>
        <w:numPr>
          <w:ilvl w:val="0"/>
          <w:numId w:val="0"/>
        </w:numPr>
        <w:ind w:left="851"/>
      </w:pPr>
      <w:r w:rsidRPr="000F03A4">
        <w:rPr>
          <w:rStyle w:val="Heading2acontentwithoutH2titleChar"/>
        </w:rPr>
        <w:t>Money Laundering is the process by which criminals attempt to hide and disguise the true origin and ownership of the proceeds of their criminal activities as ‘clean’ money or other assets with no obvious link to their criminal origins.  (The legal definition of money laundering for the purposes of UK legislation is contained in Section 340 of the Proceeds of Crime Act 2002).</w:t>
      </w:r>
    </w:p>
    <w:p w14:paraId="1D470E9A" w14:textId="77777777" w:rsidR="000F03A4" w:rsidRDefault="000F03A4" w:rsidP="000F03A4">
      <w:pPr>
        <w:pStyle w:val="Heading2acontentwithoutH2title"/>
        <w:numPr>
          <w:ilvl w:val="1"/>
          <w:numId w:val="3"/>
        </w:numPr>
        <w:ind w:left="851" w:hanging="851"/>
        <w:rPr>
          <w:rStyle w:val="Heading2acontentwithoutH2titleChar"/>
        </w:rPr>
      </w:pPr>
      <w:r w:rsidRPr="000F03A4">
        <w:rPr>
          <w:rStyle w:val="Heading2acontentwithoutH2titleChar"/>
        </w:rPr>
        <w:t>Money laundering activity includes:</w:t>
      </w:r>
    </w:p>
    <w:p w14:paraId="517C096E"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Acquiring, using or possessing criminal property</w:t>
      </w:r>
    </w:p>
    <w:p w14:paraId="1E82A49E"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Handling the proceeds of crimes such as theft, fraud and tax evasion</w:t>
      </w:r>
    </w:p>
    <w:p w14:paraId="14F20B35"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Being knowingly involved in a way with criminal or terrorist property</w:t>
      </w:r>
    </w:p>
    <w:p w14:paraId="24A4A082"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lastRenderedPageBreak/>
        <w:t>Entering into arrangements to facilitate laundering criminal or terrorist property</w:t>
      </w:r>
    </w:p>
    <w:p w14:paraId="5AAE742A"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Investing the proceeds of crimes through the acquisition of property/assets</w:t>
      </w:r>
    </w:p>
    <w:p w14:paraId="71AB6066"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Transferring criminal property</w:t>
      </w:r>
    </w:p>
    <w:p w14:paraId="1C76AD74" w14:textId="4840EC57" w:rsidR="000F03A4" w:rsidRPr="000F03A4" w:rsidRDefault="000F03A4" w:rsidP="000F03A4">
      <w:pPr>
        <w:pStyle w:val="Heading2acontentwithoutH2title"/>
        <w:numPr>
          <w:ilvl w:val="1"/>
          <w:numId w:val="3"/>
        </w:numPr>
        <w:ind w:left="851" w:hanging="851"/>
        <w:rPr>
          <w:rStyle w:val="Heading2acontentwithoutH2titleChar"/>
        </w:rPr>
      </w:pPr>
      <w:r w:rsidRPr="000F03A4">
        <w:rPr>
          <w:rStyle w:val="Heading2acontentwithoutH2titleChar"/>
        </w:rPr>
        <w:t>The objectives of Money Laundering are to</w:t>
      </w:r>
    </w:p>
    <w:p w14:paraId="757DD9FA"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Disguise the source of the property/cash</w:t>
      </w:r>
    </w:p>
    <w:p w14:paraId="78203F95"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Disguise the criminals identify</w:t>
      </w:r>
    </w:p>
    <w:p w14:paraId="08342966"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Conceal the ownership of the property</w:t>
      </w:r>
    </w:p>
    <w:p w14:paraId="5424E1AE"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Retain an element of control of the property</w:t>
      </w:r>
    </w:p>
    <w:p w14:paraId="25F2AFD2"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Avoid detection and forfeiture</w:t>
      </w:r>
    </w:p>
    <w:p w14:paraId="6A4FDC6F"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Benefit securely</w:t>
      </w:r>
    </w:p>
    <w:p w14:paraId="14C883AA"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Possibly fund other criminal activity</w:t>
      </w:r>
    </w:p>
    <w:p w14:paraId="71B837A4" w14:textId="01709AD9" w:rsidR="00467E8E" w:rsidRPr="00467E8E" w:rsidRDefault="000F03A4" w:rsidP="00467E8E">
      <w:pPr>
        <w:pStyle w:val="Heading2acontentwithoutH2title"/>
        <w:numPr>
          <w:ilvl w:val="1"/>
          <w:numId w:val="3"/>
        </w:numPr>
        <w:ind w:left="851" w:hanging="851"/>
        <w:rPr>
          <w:rStyle w:val="Heading2acontentwithoutH2titleChar"/>
        </w:rPr>
      </w:pPr>
      <w:r>
        <w:rPr>
          <w:rStyle w:val="Heading2acontentwithoutH2titleChar"/>
        </w:rPr>
        <w:t>Legislation</w:t>
      </w:r>
    </w:p>
    <w:p w14:paraId="3DD34E0A" w14:textId="6BA9D8CA" w:rsidR="000F03A4" w:rsidRDefault="000F03A4" w:rsidP="000F03A4">
      <w:pPr>
        <w:pStyle w:val="Heading2acontentwithoutH2title"/>
        <w:numPr>
          <w:ilvl w:val="0"/>
          <w:numId w:val="0"/>
        </w:numPr>
        <w:ind w:left="851"/>
        <w:rPr>
          <w:rStyle w:val="Heading2acontentwithoutH2titleChar"/>
        </w:rPr>
      </w:pPr>
      <w:r>
        <w:rPr>
          <w:rStyle w:val="Heading2acontentwithoutH2titleChar"/>
        </w:rPr>
        <w:t xml:space="preserve">Legislation </w:t>
      </w:r>
      <w:r w:rsidRPr="000F03A4">
        <w:rPr>
          <w:rStyle w:val="Heading2acontentwithoutH2titleChar"/>
        </w:rPr>
        <w:t>linked to Money Laundering of which employees should be aware include the following:</w:t>
      </w:r>
    </w:p>
    <w:p w14:paraId="6E8D20FC"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The Terrorism Act 2000</w:t>
      </w:r>
    </w:p>
    <w:p w14:paraId="3737469A"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The Proceeds of Crime Act 2002 (POCA)</w:t>
      </w:r>
    </w:p>
    <w:p w14:paraId="5E9C60E1"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The Serious Organised Crime and Police Act 2005</w:t>
      </w:r>
    </w:p>
    <w:p w14:paraId="303D76E6"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The Money Laundering Regulations 2007</w:t>
      </w:r>
    </w:p>
    <w:p w14:paraId="41072341"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The Money Laundering, Terrorist Financing and Transfer of Funds (information on the Payer) Regulations 2017</w:t>
      </w:r>
    </w:p>
    <w:p w14:paraId="49E05C50"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rPr>
        <w:t>Joint Money Laundering Steering Group Guidance (JMLSG)</w:t>
      </w:r>
    </w:p>
    <w:p w14:paraId="3F4251E3" w14:textId="1AE2FBDD" w:rsidR="000F03A4" w:rsidRDefault="000F03A4" w:rsidP="004D6A7B">
      <w:pPr>
        <w:pStyle w:val="Heading2acontentwithoutH2title"/>
        <w:numPr>
          <w:ilvl w:val="0"/>
          <w:numId w:val="5"/>
        </w:numPr>
        <w:rPr>
          <w:rStyle w:val="Heading2acontentwithoutH2titleChar"/>
        </w:rPr>
      </w:pPr>
      <w:r w:rsidRPr="000F03A4">
        <w:rPr>
          <w:rStyle w:val="Heading2acontentwithoutH2titleChar"/>
        </w:rPr>
        <w:t>Financial Services Markets Act 2000 (FSMA)</w:t>
      </w:r>
    </w:p>
    <w:p w14:paraId="10E51CF0" w14:textId="4093D9E3" w:rsidR="000F03A4" w:rsidRDefault="000F03A4" w:rsidP="000F03A4">
      <w:pPr>
        <w:pStyle w:val="Heading2acontentwithoutH2title"/>
        <w:numPr>
          <w:ilvl w:val="0"/>
          <w:numId w:val="0"/>
        </w:numPr>
        <w:ind w:left="1571"/>
        <w:rPr>
          <w:rStyle w:val="Heading2acontentwithoutH2titleChar"/>
        </w:rPr>
      </w:pPr>
    </w:p>
    <w:p w14:paraId="031AA3DF" w14:textId="77777777" w:rsidR="000F03A4" w:rsidRPr="000F03A4" w:rsidRDefault="000F03A4" w:rsidP="000F03A4">
      <w:pPr>
        <w:pStyle w:val="Heading2acontentwithoutH2title"/>
        <w:numPr>
          <w:ilvl w:val="0"/>
          <w:numId w:val="0"/>
        </w:numPr>
        <w:ind w:left="1571"/>
        <w:rPr>
          <w:rStyle w:val="Heading2acontentwithoutH2titleChar"/>
        </w:rPr>
      </w:pPr>
    </w:p>
    <w:p w14:paraId="191505DD" w14:textId="57275489" w:rsidR="000F03A4" w:rsidRDefault="000F03A4" w:rsidP="000F03A4">
      <w:pPr>
        <w:pStyle w:val="Heading2acontentwithoutH2title"/>
        <w:numPr>
          <w:ilvl w:val="1"/>
          <w:numId w:val="3"/>
        </w:numPr>
        <w:ind w:left="851" w:hanging="851"/>
        <w:rPr>
          <w:rStyle w:val="Heading2acontentwithoutH2titleChar"/>
        </w:rPr>
      </w:pPr>
      <w:r w:rsidRPr="000F03A4">
        <w:rPr>
          <w:rStyle w:val="Heading2acontentwithoutH2titleChar"/>
        </w:rPr>
        <w:t>There are three stages in the money laundering process</w:t>
      </w:r>
    </w:p>
    <w:p w14:paraId="2616F7D9"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b/>
          <w:bCs/>
        </w:rPr>
        <w:t>Placement:</w:t>
      </w:r>
      <w:r w:rsidRPr="000F03A4">
        <w:rPr>
          <w:rStyle w:val="Heading2acontentwithoutH2titleChar"/>
        </w:rPr>
        <w:t xml:space="preserve"> the physical distribution of the proceeds (e.g. depositing ‘dirty’ cash with someone to launder)</w:t>
      </w:r>
    </w:p>
    <w:p w14:paraId="5A2F16D3"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b/>
          <w:bCs/>
        </w:rPr>
        <w:lastRenderedPageBreak/>
        <w:t>Layering:</w:t>
      </w:r>
      <w:r w:rsidRPr="000F03A4">
        <w:rPr>
          <w:rStyle w:val="Heading2acontentwithoutH2titleChar"/>
        </w:rPr>
        <w:t xml:space="preserve"> involves carrying out multiple and often complex financial transactions, with the specific intention of hiding the original source of illegal deposits</w:t>
      </w:r>
    </w:p>
    <w:p w14:paraId="5B8B7212" w14:textId="77777777" w:rsidR="000F03A4" w:rsidRPr="000F03A4" w:rsidRDefault="000F03A4" w:rsidP="004D6A7B">
      <w:pPr>
        <w:pStyle w:val="Heading2acontentwithoutH2title"/>
        <w:numPr>
          <w:ilvl w:val="0"/>
          <w:numId w:val="5"/>
        </w:numPr>
        <w:rPr>
          <w:rStyle w:val="Heading2acontentwithoutH2titleChar"/>
        </w:rPr>
      </w:pPr>
      <w:r w:rsidRPr="000F03A4">
        <w:rPr>
          <w:rStyle w:val="Heading2acontentwithoutH2titleChar"/>
          <w:b/>
          <w:bCs/>
        </w:rPr>
        <w:t>Integration:</w:t>
      </w:r>
      <w:r w:rsidRPr="000F03A4">
        <w:rPr>
          <w:rStyle w:val="Heading2acontentwithoutH2titleChar"/>
        </w:rPr>
        <w:t xml:space="preserve"> returning the ‘cleansed’ funds to the criminal, often in the form of physical assets, via what appears to be a legitimate transaction</w:t>
      </w:r>
    </w:p>
    <w:p w14:paraId="1219CBC6" w14:textId="1DA28AE6" w:rsidR="00107C82" w:rsidRPr="00107C82" w:rsidRDefault="00107C82" w:rsidP="00107C82">
      <w:pPr>
        <w:pStyle w:val="Heading2acontentwithoutH2title"/>
        <w:numPr>
          <w:ilvl w:val="1"/>
          <w:numId w:val="3"/>
        </w:numPr>
        <w:ind w:left="851" w:hanging="851"/>
        <w:rPr>
          <w:rStyle w:val="Heading2acontentwithoutH2titleChar"/>
        </w:rPr>
      </w:pPr>
      <w:r w:rsidRPr="00107C82">
        <w:rPr>
          <w:rStyle w:val="Heading2acontentwithoutH2titleChar"/>
        </w:rPr>
        <w:t>The main offences are</w:t>
      </w:r>
    </w:p>
    <w:p w14:paraId="776196A5"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b/>
          <w:bCs/>
        </w:rPr>
        <w:t>Money laundering offences</w:t>
      </w:r>
      <w:r w:rsidRPr="00107C82">
        <w:rPr>
          <w:rStyle w:val="Heading2acontentwithoutH2titleChar"/>
        </w:rPr>
        <w:t xml:space="preserve"> of concealing, arranging or acquiring the proceeds of crime:  maximum penalty 14 years imprisonment and/or fine</w:t>
      </w:r>
    </w:p>
    <w:p w14:paraId="75DD35AB"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b/>
          <w:bCs/>
        </w:rPr>
        <w:t>The offence of failure to report knowledge or suspicion</w:t>
      </w:r>
      <w:r w:rsidRPr="00107C82">
        <w:rPr>
          <w:rStyle w:val="Heading2acontentwithoutH2titleChar"/>
        </w:rPr>
        <w:t xml:space="preserve"> of money laundering: maximum penalty 5 years imprisonment and/or fine</w:t>
      </w:r>
    </w:p>
    <w:p w14:paraId="4260D988"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b/>
          <w:bCs/>
        </w:rPr>
        <w:t>The offence of destroying or disposing</w:t>
      </w:r>
      <w:r w:rsidRPr="00107C82">
        <w:rPr>
          <w:rStyle w:val="Heading2acontentwithoutH2titleChar"/>
        </w:rPr>
        <w:t xml:space="preserve"> of documents which are relevant to an investigation: maximum penalty 5 years imprisonment and/or fine</w:t>
      </w:r>
    </w:p>
    <w:p w14:paraId="18860C5A"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b/>
          <w:bCs/>
        </w:rPr>
        <w:t>Tipping off</w:t>
      </w:r>
      <w:r w:rsidRPr="00107C82">
        <w:rPr>
          <w:rStyle w:val="Heading2acontentwithoutH2titleChar"/>
        </w:rPr>
        <w:t xml:space="preserve"> prejudicing an investigation by informing the subject of a suspicion, or any third party, that a disclosure has been made or that the authorities have received a suspicious transaction report and are acting or proposing to act or investigate: 2 years imprisonment and/or unlimited fine</w:t>
      </w:r>
    </w:p>
    <w:p w14:paraId="201E4DCA" w14:textId="3C9D266E" w:rsidR="00107C82" w:rsidRDefault="00107C82" w:rsidP="00107C82">
      <w:pPr>
        <w:pStyle w:val="Heading2acontentwithoutH2title"/>
        <w:numPr>
          <w:ilvl w:val="1"/>
          <w:numId w:val="3"/>
        </w:numPr>
        <w:ind w:left="851" w:hanging="851"/>
        <w:rPr>
          <w:rStyle w:val="Heading2acontentwithoutH2titleChar"/>
        </w:rPr>
      </w:pPr>
      <w:r w:rsidRPr="00107C82">
        <w:rPr>
          <w:rStyle w:val="Heading2acontentwithoutH2titleChar"/>
        </w:rPr>
        <w:t xml:space="preserve">Proceeds of Crime Act 2002:   </w:t>
      </w:r>
    </w:p>
    <w:p w14:paraId="4697E2E9" w14:textId="77777777"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Remember it is an offence under the POCA to:</w:t>
      </w:r>
    </w:p>
    <w:p w14:paraId="30299D00"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Own or possess criminal property</w:t>
      </w:r>
    </w:p>
    <w:p w14:paraId="73D81BBE" w14:textId="743CC362"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Help another person to obtain conceal or disguise criminal property if you know or suspect that the person has been engaged in, or has benefited from, criminal conduct</w:t>
      </w:r>
    </w:p>
    <w:p w14:paraId="24E2A0B0" w14:textId="046B36B4" w:rsidR="00467E8E" w:rsidRPr="00467E8E" w:rsidRDefault="00467E8E" w:rsidP="00467E8E">
      <w:pPr>
        <w:pStyle w:val="Heading2acontentwithoutH2title"/>
        <w:numPr>
          <w:ilvl w:val="0"/>
          <w:numId w:val="0"/>
        </w:numPr>
        <w:ind w:left="851"/>
        <w:rPr>
          <w:rStyle w:val="Heading2acontentwithoutH2titleChar"/>
        </w:rPr>
      </w:pPr>
      <w:r w:rsidRPr="00467E8E">
        <w:rPr>
          <w:rStyle w:val="Heading2acontentwithoutH2titleChar"/>
        </w:rPr>
        <w:t>If you have a disability that impacts on your attendance at work, the Company will give consideration to whether there are any reasonable adjustments that could be made to your job or other aspects of your working arrangements to minimise absenteeism or assist your return to work.</w:t>
      </w:r>
    </w:p>
    <w:p w14:paraId="098F39C9" w14:textId="621A07B7" w:rsidR="00467E8E" w:rsidRPr="00107C82" w:rsidRDefault="00107C82" w:rsidP="00107C82">
      <w:pPr>
        <w:pStyle w:val="Heading2acontentwithoutH2title"/>
        <w:numPr>
          <w:ilvl w:val="1"/>
          <w:numId w:val="3"/>
        </w:numPr>
        <w:ind w:left="851" w:hanging="851"/>
        <w:rPr>
          <w:rStyle w:val="Heading2acontentwithoutH2titleChar"/>
        </w:rPr>
      </w:pPr>
      <w:r w:rsidRPr="00107C82">
        <w:rPr>
          <w:rStyle w:val="Heading2acontentwithoutH2titleChar"/>
        </w:rPr>
        <w:t>Reporting</w:t>
      </w:r>
    </w:p>
    <w:p w14:paraId="3BDD02A7" w14:textId="77777777"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 xml:space="preserve">It is the MLRO’s responsibility to investigate any suspicions and make the appropriate reports to the FCA and the National Crime Agency (NCA).  </w:t>
      </w:r>
    </w:p>
    <w:p w14:paraId="7023E225" w14:textId="77777777" w:rsidR="00467E8E" w:rsidRDefault="00467E8E" w:rsidP="00467E8E">
      <w:pPr>
        <w:pStyle w:val="Heading2acontentwithoutH2title"/>
        <w:numPr>
          <w:ilvl w:val="0"/>
          <w:numId w:val="0"/>
        </w:numPr>
      </w:pPr>
    </w:p>
    <w:p w14:paraId="3515DAC1" w14:textId="56647E44" w:rsidR="00F1417D" w:rsidRDefault="00107C82" w:rsidP="00F1417D">
      <w:pPr>
        <w:pStyle w:val="Heading1"/>
        <w:keepNext w:val="0"/>
        <w:numPr>
          <w:ilvl w:val="0"/>
          <w:numId w:val="3"/>
        </w:numPr>
        <w:ind w:left="851" w:hanging="851"/>
      </w:pPr>
      <w:bookmarkStart w:id="7" w:name="_Toc80788299"/>
      <w:r>
        <w:t>MLRO Responsibilities</w:t>
      </w:r>
      <w:bookmarkEnd w:id="7"/>
    </w:p>
    <w:p w14:paraId="422AE49D" w14:textId="0E9A4E71" w:rsidR="00107C82" w:rsidRPr="00107C82" w:rsidRDefault="00107C82" w:rsidP="00107C82">
      <w:pPr>
        <w:pStyle w:val="Heading2acontentwithoutH2title"/>
        <w:numPr>
          <w:ilvl w:val="0"/>
          <w:numId w:val="0"/>
        </w:numPr>
        <w:ind w:left="851"/>
      </w:pPr>
      <w:r w:rsidRPr="00107C82">
        <w:rPr>
          <w:rStyle w:val="Heading2acontentwithoutH2titleChar"/>
        </w:rPr>
        <w:t>The MLRO is responsible for:</w:t>
      </w:r>
    </w:p>
    <w:p w14:paraId="02912F55"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Working with Team Leaders preparing and reporting any suspicious transactions;</w:t>
      </w:r>
    </w:p>
    <w:p w14:paraId="16D1909F"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notifying the firm’s Senior Management;</w:t>
      </w:r>
    </w:p>
    <w:p w14:paraId="00A5D4D9"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lastRenderedPageBreak/>
        <w:t>ensuring the adequacy of the arrangements made for the awareness and training of staff;</w:t>
      </w:r>
    </w:p>
    <w:p w14:paraId="74E32BF8"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reporting at least annually to the firm’s governing body on the operation and effectiveness of the firm’s systems and controls;</w:t>
      </w:r>
    </w:p>
    <w:p w14:paraId="4A1AD091"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monitoring the day to day operation of anti-money laundering controls in relation to products, customers and the firm’s business model; and</w:t>
      </w:r>
    </w:p>
    <w:p w14:paraId="41968106" w14:textId="70D4B1D8" w:rsidR="00107C82" w:rsidRPr="00107C82" w:rsidRDefault="00107C82" w:rsidP="004D6A7B">
      <w:pPr>
        <w:pStyle w:val="Heading2acontentwithoutH2title"/>
        <w:numPr>
          <w:ilvl w:val="0"/>
          <w:numId w:val="5"/>
        </w:numPr>
      </w:pPr>
      <w:r w:rsidRPr="00107C82">
        <w:rPr>
          <w:rStyle w:val="Heading2acontentwithoutH2titleChar"/>
        </w:rPr>
        <w:t xml:space="preserve">responding promptly to any reasonable request for information made by the FCA or other agencies. </w:t>
      </w:r>
    </w:p>
    <w:p w14:paraId="558A2AC4" w14:textId="6A45360A"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The firm’s MLRO must report to the National Crime Agency (NCA) any transaction or activity that, after their evaluation, they know or suspect, or have reasonable grounds to know or suspect, may be linked to money laundering or terrorist financing. This is done by means of a Suspicious Activities Report (SAR). Such reports must be made as soon as is reasonably practicable after the information comes to the MLRO. The firm must permit the MLRO to have access to any information in the firm’s possession which could be relevant. The firm’s MLRO must consider each incident and determine whether it gives rise to knowledge or suspicion, or reasonable grounds for knowledge or suspicion. Any approach to the customer or to the intermediary should be made sensitively and probably by someone other than the MLRO, to minimise the risk of alerting the customer or an intermediary that a disclosure to the NCA may be being considered. When considering an incident, the MRLO should take into account any connected business or individuals.</w:t>
      </w:r>
    </w:p>
    <w:p w14:paraId="3F4C7BAD" w14:textId="7C370A80"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 xml:space="preserve">When considering an incident, the MLRO will need to strike the appropriate balance between the requirement to make a timely disclosure to the NCA, especially if consent is required, and any delays that might arise in searching a number of unlinked systems and records that might hold relevant information. </w:t>
      </w:r>
    </w:p>
    <w:p w14:paraId="27AADC0D" w14:textId="669ACDC7"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 xml:space="preserve">Given the need for timely reporting, it may be prudent for the MLRO to consider making an initial report to the NCA prior to completing a full review of linked or connected relationships, which may or may not subsequently need to be reported to the NCA. </w:t>
      </w:r>
    </w:p>
    <w:p w14:paraId="0E66091C" w14:textId="7CB04E42"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 xml:space="preserve">The manner of reporting will include a typed, paper-based submission on a standard form as well as the existing electronic submission methods; secure extranet Money Web interface, the NCA’s web-based reporting mechanism (Suspicious Activity Report) SARs Online, encrypted e-mail or encrypted CD ROM. </w:t>
      </w:r>
    </w:p>
    <w:p w14:paraId="4D5664F9" w14:textId="5BD5401B"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 xml:space="preserve">Firms should include in each SAR as much relevant information about the customer, transaction or activity as it has in its records. The law enforcement agencies have indicated that details of an individual’s occupation/company’s business and National Insurance Number are valuable in enabling them to access other relevant information about the customer. As there is no obligation to collect this information (other than in very specific cases), a firm may not hold these details for all its customers; where it has obtained this information, however, it would be helpful to include it as part of a SAR made by the firm. </w:t>
      </w:r>
    </w:p>
    <w:p w14:paraId="066C92AE" w14:textId="77777777"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If after consideration of the information available, the MLRO decides not to make a report to the NCA, the reasons for not doing so should be clearly documented and retained with the internal reports.</w:t>
      </w:r>
    </w:p>
    <w:p w14:paraId="7A2FAB01" w14:textId="225D2557" w:rsidR="00467E8E" w:rsidRDefault="00107C82" w:rsidP="00467E8E">
      <w:pPr>
        <w:pStyle w:val="Heading1"/>
        <w:keepNext w:val="0"/>
        <w:numPr>
          <w:ilvl w:val="0"/>
          <w:numId w:val="3"/>
        </w:numPr>
        <w:ind w:left="851" w:hanging="851"/>
      </w:pPr>
      <w:bookmarkStart w:id="8" w:name="_Toc80788300"/>
      <w:r>
        <w:lastRenderedPageBreak/>
        <w:t>Risk Based Approach</w:t>
      </w:r>
      <w:bookmarkEnd w:id="8"/>
    </w:p>
    <w:p w14:paraId="7337D6EC" w14:textId="43A090E9"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The level of due diligence undertaken by a firm should be on a risk-based approach and proportionate to the size of the risk posed by that relationship.</w:t>
      </w:r>
    </w:p>
    <w:p w14:paraId="6A6E5138" w14:textId="01E41F34" w:rsidR="00107C82" w:rsidRPr="00107C82" w:rsidRDefault="00107C82" w:rsidP="00107C82">
      <w:pPr>
        <w:pStyle w:val="Heading2acontentwithoutH2title"/>
        <w:numPr>
          <w:ilvl w:val="0"/>
          <w:numId w:val="0"/>
        </w:numPr>
        <w:ind w:left="851"/>
      </w:pPr>
      <w:r w:rsidRPr="00107C82">
        <w:rPr>
          <w:rStyle w:val="Heading2acontentwithoutH2titleChar"/>
        </w:rPr>
        <w:t>The factors which help to determine the risk that is posed can be broken down into four main areas:</w:t>
      </w:r>
    </w:p>
    <w:p w14:paraId="1AEB56B6" w14:textId="4902E1A6" w:rsidR="00107C82" w:rsidRDefault="00107C82" w:rsidP="00107C82">
      <w:pPr>
        <w:pStyle w:val="Heading2acontentwithoutH2title"/>
        <w:numPr>
          <w:ilvl w:val="1"/>
          <w:numId w:val="3"/>
        </w:numPr>
        <w:ind w:left="851" w:hanging="851"/>
        <w:rPr>
          <w:rStyle w:val="Heading2acontentwithoutH2titleChar"/>
        </w:rPr>
      </w:pPr>
      <w:r w:rsidRPr="00107C82">
        <w:rPr>
          <w:rStyle w:val="Heading2acontentwithoutH2titleChar"/>
        </w:rPr>
        <w:t>Customer Risk</w:t>
      </w:r>
    </w:p>
    <w:p w14:paraId="66E015F8" w14:textId="3289540F"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 xml:space="preserve">Different customer profiles have different levels of risks attached to them. A basic identity or in financial services Know your Customer (KYC) check can establish the risk posed by a customer. For example: </w:t>
      </w:r>
    </w:p>
    <w:p w14:paraId="4BF11775" w14:textId="347DF9A5"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Banking: For example, near-retired individuals making small, regular contributions to a savings account in line with their financial details poses less of a risk than middle-aged individuals making ad-hoc payments of ever-changing sizes into a savings account that does not fit into the profile of the customers’ standing financial data. The intensity of the due diligence conducted on the latter would be higher than that carried out on the former as the potential threat of money laundering in the second case would be perceived as being greater.</w:t>
      </w:r>
    </w:p>
    <w:p w14:paraId="40265CEF" w14:textId="5FDEF4B3"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Insurance: a customer who is not known to the firm and wants to pay a lump sum cash for an insurance premium that sits outside the firm’s cash handling policy; or a customer who has complex insurance needs which requires changing the insurance risk by vehicle, cover, use, etc. on a regular basis and insisting on paying cash poses a higher potential threat of money laundering and would be perceived as being higher risk.</w:t>
      </w:r>
    </w:p>
    <w:p w14:paraId="06CFE3D1" w14:textId="075E54FE"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Motor Finance: a customer that makes regular payments on time through a bank account for their hire purchase poses less of a risk than a customer who wishes to pay in cash on a monthly basis or in a lump sum or makes payments through a bank account but also wants to make additional payments in cash.  The intensity of the due diligence conducted on the latter would be higher than that carried out on the former as a potential threat of money laundering in the second case would be perceived as being greater.</w:t>
      </w:r>
    </w:p>
    <w:p w14:paraId="3318938F" w14:textId="48EF3F35"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 xml:space="preserve">A corporate customer with a complex business structure could represent a higher risk profile as a complex business structure could be used by criminals to introduce layers within transactions to hide the source of the original funds.  </w:t>
      </w:r>
    </w:p>
    <w:p w14:paraId="4406469E" w14:textId="2D01D2DA" w:rsidR="00107C82" w:rsidRDefault="00107C82" w:rsidP="00107C82">
      <w:pPr>
        <w:pStyle w:val="Heading2acontentwithoutH2title"/>
        <w:numPr>
          <w:ilvl w:val="1"/>
          <w:numId w:val="3"/>
        </w:numPr>
        <w:ind w:left="851" w:hanging="851"/>
        <w:rPr>
          <w:rStyle w:val="Heading2acontentwithoutH2titleChar"/>
        </w:rPr>
      </w:pPr>
      <w:r w:rsidRPr="00107C82">
        <w:rPr>
          <w:rStyle w:val="Heading2acontentwithoutH2titleChar"/>
        </w:rPr>
        <w:t>Product Risk</w:t>
      </w:r>
    </w:p>
    <w:p w14:paraId="6F9D3279" w14:textId="45CABE0E"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This is the risk posed by the product or service itself. </w:t>
      </w:r>
      <w:bookmarkStart w:id="9" w:name="_Toc182361268"/>
      <w:bookmarkStart w:id="10" w:name="_Toc178993780"/>
      <w:bookmarkStart w:id="11" w:name="_Toc168242206"/>
      <w:bookmarkStart w:id="12" w:name="_Toc149356428"/>
      <w:bookmarkStart w:id="13" w:name="_Toc148155994"/>
      <w:bookmarkStart w:id="14" w:name="_Toc144462921"/>
      <w:bookmarkStart w:id="15" w:name="_Toc144105583"/>
      <w:bookmarkEnd w:id="9"/>
      <w:bookmarkEnd w:id="10"/>
      <w:bookmarkEnd w:id="11"/>
      <w:bookmarkEnd w:id="12"/>
      <w:bookmarkEnd w:id="13"/>
      <w:bookmarkEnd w:id="14"/>
      <w:bookmarkEnd w:id="15"/>
      <w:r w:rsidRPr="00107C82">
        <w:rPr>
          <w:rStyle w:val="Heading2acontentwithoutH2titleChar"/>
        </w:rPr>
        <w:t>The product risk is driven by its functionality as a money laundering tool.</w:t>
      </w:r>
    </w:p>
    <w:p w14:paraId="0AC5234A" w14:textId="0DEA0238"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lastRenderedPageBreak/>
        <w:t>The Joint Money Laundering Steering Group has categorised the products with which firms typically deal into three risk bands – reduced, intermediate and increased. As an example, typically pure protection insurance contracts are categorised as reduced risk and investments in unit trusts as increased risk. Additionally, a factor that will contribute to the classification of the risk category is the sales process associated with the product. For example, if the transaction in the product takes place on an advisory basis as a result of a KYC, this will carry less risk than an execution only transaction, whereby a firm knows significantly less about the customer.</w:t>
      </w:r>
    </w:p>
    <w:p w14:paraId="3A02C60B" w14:textId="159680DE"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 xml:space="preserve">we have assessed the product as being medium risk. </w:t>
      </w:r>
    </w:p>
    <w:p w14:paraId="01CDD7FB" w14:textId="7C9C1938" w:rsidR="00107C82" w:rsidRDefault="00107C82" w:rsidP="00107C82">
      <w:pPr>
        <w:pStyle w:val="Heading2acontentwithoutH2title"/>
        <w:numPr>
          <w:ilvl w:val="1"/>
          <w:numId w:val="3"/>
        </w:numPr>
        <w:ind w:left="851" w:hanging="851"/>
        <w:rPr>
          <w:rStyle w:val="Heading2acontentwithoutH2titleChar"/>
        </w:rPr>
      </w:pPr>
      <w:r w:rsidRPr="00107C82">
        <w:rPr>
          <w:rStyle w:val="Heading2acontentwithoutH2titleChar"/>
        </w:rPr>
        <w:t>Interface Risk</w:t>
      </w:r>
    </w:p>
    <w:p w14:paraId="4FA11080" w14:textId="2FF11200"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Relationships where customer makes face-to-face contact with the firm can be perceived to carry less risk as this presents an opportunity for the firm to verify that the client’s identity documents are of true likeness to the client. Business conducted at a distance in a non-direct manner can result in an increased exposure of risk to the firm through impersonation.</w:t>
      </w:r>
    </w:p>
    <w:p w14:paraId="0B808191" w14:textId="49DA7C9F"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we have assessed the interface risk medium.</w:t>
      </w:r>
    </w:p>
    <w:p w14:paraId="43E5E46F" w14:textId="15D021D7" w:rsidR="00107C82" w:rsidRDefault="00107C82" w:rsidP="00107C82">
      <w:pPr>
        <w:pStyle w:val="Heading2acontentwithoutH2title"/>
        <w:numPr>
          <w:ilvl w:val="1"/>
          <w:numId w:val="3"/>
        </w:numPr>
        <w:ind w:left="851" w:hanging="851"/>
        <w:rPr>
          <w:rStyle w:val="Heading2acontentwithoutH2titleChar"/>
        </w:rPr>
      </w:pPr>
      <w:r w:rsidRPr="00107C82">
        <w:rPr>
          <w:rStyle w:val="Heading2acontentwithoutH2titleChar"/>
        </w:rPr>
        <w:t>Country Risk</w:t>
      </w:r>
    </w:p>
    <w:p w14:paraId="1A7255B7" w14:textId="348B33A2" w:rsidR="00107C82" w:rsidRPr="00107C82" w:rsidRDefault="00107C82" w:rsidP="00107C82">
      <w:pPr>
        <w:pStyle w:val="Heading2acontentwithoutH2title"/>
        <w:numPr>
          <w:ilvl w:val="0"/>
          <w:numId w:val="0"/>
        </w:numPr>
        <w:ind w:left="851"/>
        <w:rPr>
          <w:rStyle w:val="Heading2acontentwithoutH2titleChar"/>
        </w:rPr>
      </w:pPr>
      <w:r>
        <w:rPr>
          <w:rFonts w:asciiTheme="minorHAnsi" w:hAnsiTheme="minorHAnsi" w:cstheme="minorHAnsi"/>
          <w:sz w:val="22"/>
          <w:szCs w:val="22"/>
        </w:rPr>
        <w:t xml:space="preserve">The geographic location of the client or origin of the business activity has a risk associated with it, this </w:t>
      </w:r>
      <w:r w:rsidRPr="00107C82">
        <w:rPr>
          <w:rStyle w:val="Heading2acontentwithoutH2titleChar"/>
        </w:rPr>
        <w:t>stems from the fact that countries around the globe have different levels of risk attached to them.</w:t>
      </w:r>
    </w:p>
    <w:p w14:paraId="09317726" w14:textId="5DEBAD89"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 xml:space="preserve">we have assessed the country risk as being as low.  </w:t>
      </w:r>
    </w:p>
    <w:p w14:paraId="49B49A5C" w14:textId="77777777" w:rsidR="00107C82" w:rsidRPr="00107C82" w:rsidRDefault="00107C82" w:rsidP="00107C82">
      <w:pPr>
        <w:pStyle w:val="Heading2acontentwithoutH2title"/>
        <w:numPr>
          <w:ilvl w:val="0"/>
          <w:numId w:val="0"/>
        </w:numPr>
        <w:ind w:left="851"/>
        <w:rPr>
          <w:rStyle w:val="Heading2acontentwithoutH2titleChar"/>
        </w:rPr>
      </w:pPr>
      <w:r w:rsidRPr="00107C82">
        <w:rPr>
          <w:rStyle w:val="Heading2acontentwithoutH2titleChar"/>
        </w:rPr>
        <w:t>A firm should determine the extent of their due diligence measure required initially and on an ongoing basis using the above four risk areas.</w:t>
      </w:r>
    </w:p>
    <w:p w14:paraId="6CAEF7DD" w14:textId="77777777" w:rsidR="00107C82" w:rsidRPr="00107C82" w:rsidRDefault="00107C82" w:rsidP="00107C82">
      <w:pPr>
        <w:pStyle w:val="Heading2acontentwithoutH2title"/>
        <w:numPr>
          <w:ilvl w:val="0"/>
          <w:numId w:val="0"/>
        </w:numPr>
        <w:ind w:left="851"/>
        <w:rPr>
          <w:rStyle w:val="Heading2acontentwithoutH2titleChar"/>
        </w:rPr>
      </w:pPr>
    </w:p>
    <w:p w14:paraId="20B5D278" w14:textId="5182DDF0" w:rsidR="00107C82" w:rsidRPr="00107C82" w:rsidRDefault="00107C82" w:rsidP="00107C82">
      <w:pPr>
        <w:pStyle w:val="Heading1"/>
        <w:keepNext w:val="0"/>
        <w:numPr>
          <w:ilvl w:val="0"/>
          <w:numId w:val="3"/>
        </w:numPr>
        <w:ind w:left="851" w:hanging="851"/>
      </w:pPr>
      <w:bookmarkStart w:id="16" w:name="_Toc80788301"/>
      <w:r w:rsidRPr="00107C82">
        <w:t>Suspicious activity indicators</w:t>
      </w:r>
      <w:bookmarkEnd w:id="16"/>
    </w:p>
    <w:p w14:paraId="204ECA6C" w14:textId="0470F60A" w:rsidR="00107C82" w:rsidRPr="00107C82" w:rsidRDefault="00107C82" w:rsidP="00107C82">
      <w:pPr>
        <w:pStyle w:val="Heading2acontentwithoutH2title"/>
        <w:numPr>
          <w:ilvl w:val="0"/>
          <w:numId w:val="0"/>
        </w:numPr>
        <w:ind w:left="851"/>
      </w:pPr>
      <w:r w:rsidRPr="00107C82">
        <w:rPr>
          <w:rStyle w:val="Heading2acontentwithoutH2titleChar"/>
        </w:rPr>
        <w:t xml:space="preserve">We have a responsibility to ensure our firm is not used to further financial crime. Below is a list (which is not exhaustive) of suspicious transaction indicators: </w:t>
      </w:r>
    </w:p>
    <w:p w14:paraId="09B844F0"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Clients who are reluctant to provide proof of identity if requested</w:t>
      </w:r>
    </w:p>
    <w:p w14:paraId="7D396B66"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Dealing with customers outside our normal geographical area who are not known to us or have links via other customers particularly if such individuals wish to pay in cash</w:t>
      </w:r>
    </w:p>
    <w:p w14:paraId="1EDA1B72"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Where the source of funds is unclear</w:t>
      </w:r>
    </w:p>
    <w:p w14:paraId="305BB3C4"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Customers purchasing/hiring and returning multi vehicles to create confusion then requesting refunds of premiums to be paid in cash or to other individuals or organisations</w:t>
      </w:r>
    </w:p>
    <w:p w14:paraId="490C2764"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lastRenderedPageBreak/>
        <w:t>Payment by a card not in their name and/or a transaction made by a third party (linked to Financial Sanctions)</w:t>
      </w:r>
    </w:p>
    <w:p w14:paraId="72500237"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Unsatisfactory documentation received in response to due diligence requests</w:t>
      </w:r>
    </w:p>
    <w:p w14:paraId="0271DE7D" w14:textId="77777777" w:rsidR="00107C82" w:rsidRPr="00107C82" w:rsidRDefault="00107C82" w:rsidP="004D6A7B">
      <w:pPr>
        <w:pStyle w:val="Heading2acontentwithoutH2title"/>
        <w:numPr>
          <w:ilvl w:val="0"/>
          <w:numId w:val="5"/>
        </w:numPr>
        <w:rPr>
          <w:rStyle w:val="Heading2acontentwithoutH2titleChar"/>
        </w:rPr>
      </w:pPr>
      <w:r w:rsidRPr="00107C82">
        <w:rPr>
          <w:rStyle w:val="Heading2acontentwithoutH2titleChar"/>
        </w:rPr>
        <w:t>Use of false addresses or post office boxes</w:t>
      </w:r>
    </w:p>
    <w:p w14:paraId="706CF410" w14:textId="5CC2FAB3" w:rsidR="00467E8E" w:rsidRDefault="00107C82" w:rsidP="004D6A7B">
      <w:pPr>
        <w:pStyle w:val="Heading2acontentwithoutH2title"/>
        <w:numPr>
          <w:ilvl w:val="0"/>
          <w:numId w:val="5"/>
        </w:numPr>
      </w:pPr>
      <w:r w:rsidRPr="00107C82">
        <w:rPr>
          <w:rStyle w:val="Heading2acontentwithoutH2titleChar"/>
        </w:rPr>
        <w:t>Known criminal or relative or associate of known criminal</w:t>
      </w:r>
    </w:p>
    <w:p w14:paraId="178D20C8" w14:textId="4FC2B66E" w:rsidR="00F1417D" w:rsidRDefault="00107C82" w:rsidP="00F1417D">
      <w:pPr>
        <w:pStyle w:val="Heading1"/>
        <w:keepNext w:val="0"/>
        <w:numPr>
          <w:ilvl w:val="0"/>
          <w:numId w:val="3"/>
        </w:numPr>
        <w:ind w:left="851" w:hanging="851"/>
      </w:pPr>
      <w:bookmarkStart w:id="17" w:name="_Toc80788302"/>
      <w:r>
        <w:t>Customer Due Diligence</w:t>
      </w:r>
      <w:bookmarkEnd w:id="17"/>
    </w:p>
    <w:p w14:paraId="57AFF726" w14:textId="43B5A21A" w:rsidR="00686BB5" w:rsidRPr="00686BB5" w:rsidRDefault="00686BB5" w:rsidP="00686BB5">
      <w:pPr>
        <w:pStyle w:val="Heading2acontentwithoutH2title"/>
        <w:numPr>
          <w:ilvl w:val="0"/>
          <w:numId w:val="0"/>
        </w:numPr>
        <w:ind w:left="851"/>
      </w:pPr>
      <w:r w:rsidRPr="00686BB5">
        <w:t>Customer Due Diligence (CDD) is designed to make it more difficult for the financial services industry to be used for money laundering or terrorist financing. Having sufficient information about a customer and making use of that information is the most effective defence against being used to launder the proceeds of crime.</w:t>
      </w:r>
    </w:p>
    <w:p w14:paraId="7BDD6F9A" w14:textId="2A188B46" w:rsidR="00686BB5" w:rsidRPr="00686BB5" w:rsidRDefault="00686BB5" w:rsidP="00686BB5">
      <w:pPr>
        <w:pStyle w:val="Heading2acontentwithoutH2title"/>
        <w:numPr>
          <w:ilvl w:val="0"/>
          <w:numId w:val="0"/>
        </w:numPr>
        <w:ind w:left="851"/>
      </w:pPr>
      <w:r w:rsidRPr="00686BB5">
        <w:t xml:space="preserve">This section specifies the required customer due diligence measures and in what instances these should be applied. It also describes those customers and products in respect of which no, or limited, CDD measure are required (simplified due diligence). </w:t>
      </w:r>
    </w:p>
    <w:p w14:paraId="7E5DE723" w14:textId="77777777" w:rsidR="00686BB5" w:rsidRPr="00686BB5" w:rsidRDefault="00686BB5" w:rsidP="00686BB5">
      <w:pPr>
        <w:pStyle w:val="Heading2acontentwithoutH2title"/>
        <w:numPr>
          <w:ilvl w:val="1"/>
          <w:numId w:val="3"/>
        </w:numPr>
        <w:ind w:left="851" w:hanging="851"/>
      </w:pPr>
      <w:bookmarkStart w:id="18" w:name="waste-disposal-and-recycling"/>
      <w:bookmarkEnd w:id="18"/>
      <w:r w:rsidRPr="00686BB5">
        <w:t>What is Customer Due Diligence</w:t>
      </w:r>
    </w:p>
    <w:p w14:paraId="65A88DD1" w14:textId="20E2F4B3" w:rsidR="00686BB5" w:rsidRPr="00686BB5" w:rsidRDefault="00686BB5" w:rsidP="00686BB5">
      <w:pPr>
        <w:pStyle w:val="Heading2acontentwithoutH2title"/>
        <w:numPr>
          <w:ilvl w:val="0"/>
          <w:numId w:val="0"/>
        </w:numPr>
        <w:ind w:left="851"/>
      </w:pPr>
      <w:r w:rsidRPr="00686BB5">
        <w:t>A firm needs to carry out customer due diligence and monitoring to:</w:t>
      </w:r>
    </w:p>
    <w:p w14:paraId="0E557ACC" w14:textId="77777777" w:rsidR="00686BB5" w:rsidRPr="00686BB5" w:rsidRDefault="00686BB5" w:rsidP="004D6A7B">
      <w:pPr>
        <w:pStyle w:val="Heading2acontentwithoutH2title"/>
        <w:numPr>
          <w:ilvl w:val="0"/>
          <w:numId w:val="5"/>
        </w:numPr>
        <w:rPr>
          <w:rStyle w:val="Heading2acontentwithoutH2titleChar"/>
        </w:rPr>
      </w:pPr>
      <w:r w:rsidRPr="00686BB5">
        <w:rPr>
          <w:rStyle w:val="Heading2acontentwithoutH2titleChar"/>
        </w:rPr>
        <w:t>satisfy itself that customers are who they say they are</w:t>
      </w:r>
    </w:p>
    <w:p w14:paraId="00549EDB" w14:textId="77777777" w:rsidR="00686BB5" w:rsidRPr="00686BB5" w:rsidRDefault="00686BB5" w:rsidP="004D6A7B">
      <w:pPr>
        <w:pStyle w:val="Heading2acontentwithoutH2title"/>
        <w:numPr>
          <w:ilvl w:val="0"/>
          <w:numId w:val="5"/>
        </w:numPr>
        <w:rPr>
          <w:rStyle w:val="Heading2acontentwithoutH2titleChar"/>
        </w:rPr>
      </w:pPr>
      <w:r w:rsidRPr="00686BB5">
        <w:rPr>
          <w:rStyle w:val="Heading2acontentwithoutH2titleChar"/>
        </w:rPr>
        <w:t>identify whether a customer is acting on behalf of another</w:t>
      </w:r>
    </w:p>
    <w:p w14:paraId="495EFA9F" w14:textId="77777777" w:rsidR="00686BB5" w:rsidRPr="00686BB5" w:rsidRDefault="00686BB5" w:rsidP="004D6A7B">
      <w:pPr>
        <w:pStyle w:val="Heading2acontentwithoutH2title"/>
        <w:numPr>
          <w:ilvl w:val="0"/>
          <w:numId w:val="5"/>
        </w:numPr>
        <w:rPr>
          <w:rStyle w:val="Heading2acontentwithoutH2titleChar"/>
        </w:rPr>
      </w:pPr>
      <w:r w:rsidRPr="00686BB5">
        <w:rPr>
          <w:rStyle w:val="Heading2acontentwithoutH2titleChar"/>
        </w:rPr>
        <w:t xml:space="preserve">ensure there is no legal barrier to providing the customer with the product or service requested </w:t>
      </w:r>
    </w:p>
    <w:p w14:paraId="5BC16F0B" w14:textId="77777777" w:rsidR="00686BB5" w:rsidRPr="00686BB5" w:rsidRDefault="00686BB5" w:rsidP="004D6A7B">
      <w:pPr>
        <w:pStyle w:val="Heading2acontentwithoutH2title"/>
        <w:numPr>
          <w:ilvl w:val="0"/>
          <w:numId w:val="5"/>
        </w:numPr>
        <w:rPr>
          <w:rStyle w:val="Heading2acontentwithoutH2titleChar"/>
        </w:rPr>
      </w:pPr>
      <w:r w:rsidRPr="00686BB5">
        <w:rPr>
          <w:rStyle w:val="Heading2acontentwithoutH2titleChar"/>
        </w:rPr>
        <w:t>enable the firm to assist law enforcement, by providing available information on customers or   activities being investigated.</w:t>
      </w:r>
    </w:p>
    <w:p w14:paraId="58AD8F8D" w14:textId="0211BCD6" w:rsidR="00686BB5" w:rsidRPr="00686BB5" w:rsidRDefault="00686BB5" w:rsidP="00686BB5">
      <w:pPr>
        <w:pStyle w:val="Heading2acontentwithoutH2title"/>
        <w:numPr>
          <w:ilvl w:val="1"/>
          <w:numId w:val="3"/>
        </w:numPr>
        <w:ind w:left="851" w:hanging="851"/>
      </w:pPr>
      <w:r w:rsidRPr="00686BB5">
        <w:t>Overview of CDD measures:</w:t>
      </w:r>
    </w:p>
    <w:p w14:paraId="778C69D0" w14:textId="77777777" w:rsidR="00686BB5" w:rsidRPr="00686BB5" w:rsidRDefault="00686BB5" w:rsidP="004D6A7B">
      <w:pPr>
        <w:pStyle w:val="Heading2acontentwithoutH2title"/>
        <w:numPr>
          <w:ilvl w:val="0"/>
          <w:numId w:val="5"/>
        </w:numPr>
        <w:rPr>
          <w:rStyle w:val="Heading2acontentwithoutH2titleChar"/>
        </w:rPr>
      </w:pPr>
      <w:r w:rsidRPr="00686BB5">
        <w:rPr>
          <w:rStyle w:val="Heading2acontentwithoutH2titleChar"/>
        </w:rPr>
        <w:t>Identifying the customer, and verifying their identity</w:t>
      </w:r>
    </w:p>
    <w:p w14:paraId="60C44779" w14:textId="77777777" w:rsidR="00686BB5" w:rsidRPr="00686BB5" w:rsidRDefault="00686BB5" w:rsidP="004D6A7B">
      <w:pPr>
        <w:pStyle w:val="Heading2acontentwithoutH2title"/>
        <w:numPr>
          <w:ilvl w:val="0"/>
          <w:numId w:val="5"/>
        </w:numPr>
        <w:rPr>
          <w:rStyle w:val="Heading2acontentwithoutH2titleChar"/>
        </w:rPr>
      </w:pPr>
      <w:r w:rsidRPr="00686BB5">
        <w:rPr>
          <w:rStyle w:val="Heading2acontentwithoutH2titleChar"/>
        </w:rPr>
        <w:t>Identifying the beneficial owner, where relevant, and verifying their identity</w:t>
      </w:r>
    </w:p>
    <w:p w14:paraId="6BBC4031" w14:textId="23859B38" w:rsidR="00686BB5" w:rsidRPr="00686BB5" w:rsidRDefault="00686BB5" w:rsidP="004D6A7B">
      <w:pPr>
        <w:pStyle w:val="Heading2acontentwithoutH2title"/>
        <w:numPr>
          <w:ilvl w:val="0"/>
          <w:numId w:val="5"/>
        </w:numPr>
      </w:pPr>
      <w:r w:rsidRPr="00686BB5">
        <w:rPr>
          <w:rStyle w:val="Heading2acontentwithoutH2titleChar"/>
        </w:rPr>
        <w:t>Obtaining information on the purpose and intended nature of the business relationship</w:t>
      </w:r>
    </w:p>
    <w:p w14:paraId="7D86023B" w14:textId="57A082FE" w:rsidR="00686BB5" w:rsidRPr="00686BB5" w:rsidRDefault="00686BB5" w:rsidP="00686BB5">
      <w:pPr>
        <w:pStyle w:val="Heading2acontentwithoutH2title"/>
        <w:numPr>
          <w:ilvl w:val="0"/>
          <w:numId w:val="0"/>
        </w:numPr>
        <w:ind w:left="851"/>
      </w:pPr>
      <w:r w:rsidRPr="00686BB5">
        <w:t>It may often be appropriate for the firm to know rather more about the customer than their identity: a firm will, for example, often need to be aware of the nature of the customer’s business in order to assess the extent to which their transactions and activity undertaken with or through the firm is consistent with that business.</w:t>
      </w:r>
    </w:p>
    <w:p w14:paraId="73E2345C" w14:textId="4120FD04" w:rsidR="00686BB5" w:rsidRDefault="00686BB5" w:rsidP="00686BB5">
      <w:pPr>
        <w:pStyle w:val="Heading2acontentwithoutH2title"/>
        <w:numPr>
          <w:ilvl w:val="1"/>
          <w:numId w:val="3"/>
        </w:numPr>
        <w:ind w:left="851" w:hanging="851"/>
      </w:pPr>
      <w:r w:rsidRPr="00686BB5">
        <w:t>A firm must apply CDD measures when it:</w:t>
      </w:r>
    </w:p>
    <w:p w14:paraId="4FBE0399" w14:textId="220B6678" w:rsidR="00686BB5" w:rsidRPr="00686BB5" w:rsidRDefault="00686BB5" w:rsidP="004D6A7B">
      <w:pPr>
        <w:pStyle w:val="Heading2acontentwithoutH2title"/>
        <w:numPr>
          <w:ilvl w:val="0"/>
          <w:numId w:val="5"/>
        </w:numPr>
        <w:rPr>
          <w:rStyle w:val="Heading2acontentwithoutH2titleChar"/>
        </w:rPr>
      </w:pPr>
      <w:r w:rsidRPr="00686BB5">
        <w:rPr>
          <w:rStyle w:val="Heading2acontentwithoutH2titleChar"/>
        </w:rPr>
        <w:t>Establishes a business relationship</w:t>
      </w:r>
    </w:p>
    <w:p w14:paraId="479CD894" w14:textId="2A66C65D" w:rsidR="00686BB5" w:rsidRPr="00686BB5" w:rsidRDefault="00686BB5" w:rsidP="004D6A7B">
      <w:pPr>
        <w:pStyle w:val="Heading2acontentwithoutH2title"/>
        <w:numPr>
          <w:ilvl w:val="0"/>
          <w:numId w:val="5"/>
        </w:numPr>
        <w:rPr>
          <w:rStyle w:val="Heading2acontentwithoutH2titleChar"/>
        </w:rPr>
      </w:pPr>
      <w:r w:rsidRPr="00686BB5">
        <w:rPr>
          <w:rStyle w:val="Heading2acontentwithoutH2titleChar"/>
        </w:rPr>
        <w:lastRenderedPageBreak/>
        <w:t>Carries out an occasional transaction</w:t>
      </w:r>
    </w:p>
    <w:p w14:paraId="672D70FE" w14:textId="77777777" w:rsidR="00686BB5" w:rsidRPr="00686BB5" w:rsidRDefault="00686BB5" w:rsidP="004D6A7B">
      <w:pPr>
        <w:pStyle w:val="Heading2acontentwithoutH2title"/>
        <w:numPr>
          <w:ilvl w:val="0"/>
          <w:numId w:val="5"/>
        </w:numPr>
        <w:rPr>
          <w:rStyle w:val="Heading2acontentwithoutH2titleChar"/>
        </w:rPr>
      </w:pPr>
      <w:r w:rsidRPr="00686BB5">
        <w:rPr>
          <w:rStyle w:val="Heading2acontentwithoutH2titleChar"/>
        </w:rPr>
        <w:t>Suspects money laundering or terrorist financing; and</w:t>
      </w:r>
    </w:p>
    <w:p w14:paraId="2997473D" w14:textId="6ACEFEA1" w:rsidR="00686BB5" w:rsidRPr="00686BB5" w:rsidRDefault="00686BB5" w:rsidP="004D6A7B">
      <w:pPr>
        <w:pStyle w:val="Heading2acontentwithoutH2title"/>
        <w:numPr>
          <w:ilvl w:val="0"/>
          <w:numId w:val="5"/>
        </w:numPr>
      </w:pPr>
      <w:r w:rsidRPr="00686BB5">
        <w:rPr>
          <w:rStyle w:val="Heading2acontentwithoutH2titleChar"/>
        </w:rPr>
        <w:t>Doubts the veracity of documents, data or information obtained for the purpose of identity verification</w:t>
      </w:r>
    </w:p>
    <w:p w14:paraId="7E702BAC" w14:textId="77777777" w:rsidR="00686BB5" w:rsidRPr="00686BB5" w:rsidRDefault="00686BB5" w:rsidP="00686BB5">
      <w:pPr>
        <w:pStyle w:val="Heading2acontentwithoutH2title"/>
        <w:numPr>
          <w:ilvl w:val="1"/>
          <w:numId w:val="3"/>
        </w:numPr>
        <w:ind w:left="851" w:hanging="851"/>
      </w:pPr>
      <w:r w:rsidRPr="00686BB5">
        <w:t>Know your customer</w:t>
      </w:r>
    </w:p>
    <w:p w14:paraId="4197E5C1" w14:textId="0C7FABD7" w:rsidR="00686BB5" w:rsidRPr="00686BB5" w:rsidRDefault="00686BB5" w:rsidP="00686BB5">
      <w:pPr>
        <w:pStyle w:val="Heading2acontentwithoutH2title"/>
        <w:numPr>
          <w:ilvl w:val="0"/>
          <w:numId w:val="0"/>
        </w:numPr>
        <w:ind w:left="851"/>
      </w:pPr>
      <w:r w:rsidRPr="00686BB5">
        <w:t>If a firm can carry out a variety of activities with a customer, when a business relationship is formed, in order to establish what might constitute normal activity later in the relationship, it would be appropriate for the firm to ascertain the nature of the business a client expects to conduct in advance.</w:t>
      </w:r>
    </w:p>
    <w:p w14:paraId="29D63880" w14:textId="18F01479" w:rsidR="00686BB5" w:rsidRPr="00686BB5" w:rsidRDefault="00686BB5" w:rsidP="00686BB5">
      <w:pPr>
        <w:pStyle w:val="Heading2acontentwithoutH2title"/>
        <w:numPr>
          <w:ilvl w:val="0"/>
          <w:numId w:val="0"/>
        </w:numPr>
        <w:ind w:left="851"/>
      </w:pPr>
      <w:r w:rsidRPr="00686BB5">
        <w:t>Once an on-going business relationship has been established, any regular business undertaken for that customer can be assessed against the expected pattern of activity of the customer. Any unexplained activity can then be examined to determine whether there is a suspicion of money laundering or terrorist financing.</w:t>
      </w:r>
    </w:p>
    <w:p w14:paraId="1A423CFA" w14:textId="77777777" w:rsidR="00686BB5" w:rsidRPr="00686BB5" w:rsidRDefault="00686BB5" w:rsidP="00686BB5">
      <w:pPr>
        <w:pStyle w:val="Heading2acontentwithoutH2title"/>
        <w:numPr>
          <w:ilvl w:val="0"/>
          <w:numId w:val="0"/>
        </w:numPr>
        <w:ind w:left="851"/>
      </w:pPr>
      <w:r w:rsidRPr="00686BB5">
        <w:t>Examples of information that may be captured by firms may include a client’s income, occupation, source of wealth, trading habits and the economic purpose of any transaction. At the start of the relationship personal information may also be obtained, such as, nationality, date of birth, and residential address. These pieces of information should also be considered in respect to the risk of financial crime (including Anti Money Laundering)). For high risk transactions it might be appropriate to seek verification of the information the client has provided.</w:t>
      </w:r>
    </w:p>
    <w:p w14:paraId="6EA2A171" w14:textId="77777777" w:rsidR="00686BB5" w:rsidRPr="00686BB5" w:rsidRDefault="00686BB5" w:rsidP="00686BB5">
      <w:pPr>
        <w:pStyle w:val="Heading2acontentwithoutH2title"/>
        <w:numPr>
          <w:ilvl w:val="1"/>
          <w:numId w:val="3"/>
        </w:numPr>
        <w:ind w:left="851" w:hanging="851"/>
      </w:pPr>
      <w:r w:rsidRPr="00686BB5">
        <w:t>Source of Funds</w:t>
      </w:r>
    </w:p>
    <w:p w14:paraId="34616531" w14:textId="4546C288" w:rsidR="00686BB5" w:rsidRDefault="00686BB5" w:rsidP="002A05D3">
      <w:pPr>
        <w:pStyle w:val="Heading2acontentwithoutH2title"/>
        <w:numPr>
          <w:ilvl w:val="0"/>
          <w:numId w:val="0"/>
        </w:numPr>
        <w:ind w:left="851"/>
      </w:pPr>
      <w:r w:rsidRPr="00686BB5">
        <w:t xml:space="preserve">When a transaction takes place, the source of funds, i.e., how the payment is to be made, from where and by whom, must always be ascertained and recorded. e (this would usually be achieved through retaining a copy of the cheque or direct debit mandate). </w:t>
      </w:r>
    </w:p>
    <w:p w14:paraId="7EBF4D64" w14:textId="77777777" w:rsidR="00686BB5" w:rsidRPr="00686BB5" w:rsidRDefault="00686BB5" w:rsidP="00686BB5">
      <w:pPr>
        <w:pStyle w:val="Heading2acontentwithoutH2title"/>
        <w:numPr>
          <w:ilvl w:val="1"/>
          <w:numId w:val="3"/>
        </w:numPr>
        <w:ind w:left="851" w:hanging="851"/>
      </w:pPr>
      <w:r w:rsidRPr="00686BB5">
        <w:t>Simplified Due Diligence (SDD)</w:t>
      </w:r>
    </w:p>
    <w:p w14:paraId="049BE7AE" w14:textId="034C62EA" w:rsidR="002A05D3" w:rsidRDefault="002A05D3" w:rsidP="002A05D3">
      <w:pPr>
        <w:pStyle w:val="Heading2acontentwithoutH2title"/>
        <w:numPr>
          <w:ilvl w:val="0"/>
          <w:numId w:val="0"/>
        </w:numPr>
        <w:ind w:left="851"/>
      </w:pPr>
      <w:r w:rsidRPr="002A05D3">
        <w:t>Simplified due diligence means not having to apply CDD measures; in practice, this means not having to identify the customer, or to verify the customer’s identity, or, where relevant, that of a beneficial owner, nor having to obtain information on the purpose or intended nature of the business relationship. It is, however, still necessary to conduct ongoing monitoring of the business relationship. Simplified Due Diligence will depend on the type of customer, the type of product, or the size of the transaction.</w:t>
      </w:r>
    </w:p>
    <w:p w14:paraId="2898C5C6" w14:textId="32FAEACA" w:rsidR="002A05D3" w:rsidRPr="002A05D3" w:rsidRDefault="002A05D3" w:rsidP="002A05D3">
      <w:pPr>
        <w:pStyle w:val="Heading2acontentwithoutH2title"/>
        <w:numPr>
          <w:ilvl w:val="0"/>
          <w:numId w:val="0"/>
        </w:numPr>
        <w:ind w:left="851"/>
      </w:pPr>
      <w:r w:rsidRPr="002A05D3">
        <w:t>Simplified due diligence may be applied to:</w:t>
      </w:r>
    </w:p>
    <w:p w14:paraId="07E80038" w14:textId="77777777" w:rsidR="002A05D3" w:rsidRPr="002A05D3" w:rsidRDefault="002A05D3" w:rsidP="004D6A7B">
      <w:pPr>
        <w:pStyle w:val="Heading2acontentwithoutH2title"/>
        <w:numPr>
          <w:ilvl w:val="0"/>
          <w:numId w:val="6"/>
        </w:numPr>
      </w:pPr>
      <w:r w:rsidRPr="002A05D3">
        <w:t>Companies listed on a regulated market</w:t>
      </w:r>
    </w:p>
    <w:p w14:paraId="6A5D1C2A" w14:textId="49C24960" w:rsidR="002A05D3" w:rsidRPr="002A05D3" w:rsidRDefault="002A05D3" w:rsidP="004D6A7B">
      <w:pPr>
        <w:pStyle w:val="Heading2acontentwithoutH2title"/>
        <w:numPr>
          <w:ilvl w:val="0"/>
          <w:numId w:val="6"/>
        </w:numPr>
      </w:pPr>
      <w:r w:rsidRPr="002A05D3">
        <w:t>Where the applicant itself is authorised to undertake UK financial activity under FSMA 2000 or is a non-UK financial sector firm covered by the Money Laundering Directive, or is undertaking regulated financial sector activities in a country with equivalence status.</w:t>
      </w:r>
    </w:p>
    <w:p w14:paraId="110E5D77" w14:textId="77777777" w:rsidR="002A05D3" w:rsidRPr="002A05D3" w:rsidRDefault="002A05D3" w:rsidP="004D6A7B">
      <w:pPr>
        <w:pStyle w:val="Heading2acontentwithoutH2title"/>
        <w:numPr>
          <w:ilvl w:val="0"/>
          <w:numId w:val="6"/>
        </w:numPr>
      </w:pPr>
      <w:r w:rsidRPr="002A05D3">
        <w:lastRenderedPageBreak/>
        <w:t>Beneficial owners of pooled accounts held by notaries or independent legal professionals</w:t>
      </w:r>
    </w:p>
    <w:p w14:paraId="6F24486A" w14:textId="77777777" w:rsidR="002A05D3" w:rsidRPr="002A05D3" w:rsidRDefault="002A05D3" w:rsidP="004D6A7B">
      <w:pPr>
        <w:pStyle w:val="Heading2acontentwithoutH2title"/>
        <w:numPr>
          <w:ilvl w:val="0"/>
          <w:numId w:val="6"/>
        </w:numPr>
      </w:pPr>
      <w:r w:rsidRPr="002A05D3">
        <w:t>UK public authorities</w:t>
      </w:r>
    </w:p>
    <w:p w14:paraId="5DFAEE76" w14:textId="77777777" w:rsidR="002A05D3" w:rsidRPr="002A05D3" w:rsidRDefault="002A05D3" w:rsidP="004D6A7B">
      <w:pPr>
        <w:pStyle w:val="Heading2acontentwithoutH2title"/>
        <w:numPr>
          <w:ilvl w:val="0"/>
          <w:numId w:val="6"/>
        </w:numPr>
      </w:pPr>
      <w:r w:rsidRPr="002A05D3">
        <w:t>Community institutions</w:t>
      </w:r>
    </w:p>
    <w:p w14:paraId="7E9B0AB1" w14:textId="77777777" w:rsidR="002A05D3" w:rsidRPr="002A05D3" w:rsidRDefault="002A05D3" w:rsidP="004D6A7B">
      <w:pPr>
        <w:pStyle w:val="Heading2acontentwithoutH2title"/>
        <w:numPr>
          <w:ilvl w:val="0"/>
          <w:numId w:val="6"/>
        </w:numPr>
      </w:pPr>
      <w:r w:rsidRPr="002A05D3">
        <w:t>Certain life assurance and e-money products</w:t>
      </w:r>
    </w:p>
    <w:p w14:paraId="1CF622BC" w14:textId="77777777" w:rsidR="002A05D3" w:rsidRPr="002A05D3" w:rsidRDefault="002A05D3" w:rsidP="004D6A7B">
      <w:pPr>
        <w:pStyle w:val="Heading2acontentwithoutH2title"/>
        <w:numPr>
          <w:ilvl w:val="0"/>
          <w:numId w:val="6"/>
        </w:numPr>
      </w:pPr>
      <w:r w:rsidRPr="002A05D3">
        <w:t>Certain pension funds</w:t>
      </w:r>
    </w:p>
    <w:p w14:paraId="299F58A5" w14:textId="77777777" w:rsidR="002A05D3" w:rsidRPr="002A05D3" w:rsidRDefault="002A05D3" w:rsidP="004D6A7B">
      <w:pPr>
        <w:pStyle w:val="Heading2acontentwithoutH2title"/>
        <w:numPr>
          <w:ilvl w:val="0"/>
          <w:numId w:val="6"/>
        </w:numPr>
      </w:pPr>
      <w:r w:rsidRPr="002A05D3">
        <w:t>Certain low risk products such as certain general insurance products and finance arrangements</w:t>
      </w:r>
    </w:p>
    <w:p w14:paraId="038C824B" w14:textId="5F0E1AB4" w:rsidR="002A05D3" w:rsidRPr="002A05D3" w:rsidRDefault="002A05D3" w:rsidP="004D6A7B">
      <w:pPr>
        <w:pStyle w:val="Heading2acontentwithoutH2title"/>
        <w:numPr>
          <w:ilvl w:val="0"/>
          <w:numId w:val="6"/>
        </w:numPr>
      </w:pPr>
      <w:r w:rsidRPr="002A05D3">
        <w:t>Child trust funds/Junior ISAs</w:t>
      </w:r>
    </w:p>
    <w:p w14:paraId="406F2002" w14:textId="12632A8E" w:rsidR="002A05D3" w:rsidRDefault="002A05D3" w:rsidP="002A05D3">
      <w:pPr>
        <w:pStyle w:val="Heading2acontentwithoutH2title"/>
        <w:numPr>
          <w:ilvl w:val="0"/>
          <w:numId w:val="0"/>
        </w:numPr>
        <w:ind w:left="851"/>
      </w:pPr>
      <w:r w:rsidRPr="002A05D3">
        <w:t xml:space="preserve">Please note that the exemptions from the identification procedures for customers are all subject to the overriding condition that there is no knowledge or suspicion on the part of the firm or its employees, or no reasonable grounds for knowing or suspecting, that the customer, or any person on whose behalf the customer is acting, is engaged in Money Laundering. </w:t>
      </w:r>
    </w:p>
    <w:p w14:paraId="01643FC3" w14:textId="77777777" w:rsidR="002A05D3" w:rsidRPr="002A05D3" w:rsidRDefault="002A05D3" w:rsidP="002A05D3">
      <w:pPr>
        <w:pStyle w:val="Heading2acontentwithoutH2title"/>
        <w:numPr>
          <w:ilvl w:val="0"/>
          <w:numId w:val="0"/>
        </w:numPr>
        <w:ind w:left="851"/>
      </w:pPr>
    </w:p>
    <w:p w14:paraId="42B2F092" w14:textId="77777777" w:rsidR="002A05D3" w:rsidRPr="002A05D3" w:rsidRDefault="002A05D3" w:rsidP="002A05D3">
      <w:pPr>
        <w:pStyle w:val="Heading2acontentwithoutH2title"/>
        <w:numPr>
          <w:ilvl w:val="1"/>
          <w:numId w:val="3"/>
        </w:numPr>
        <w:ind w:left="851" w:hanging="851"/>
      </w:pPr>
      <w:r w:rsidRPr="002A05D3">
        <w:t>Enhanced Due Diligence (EDD)</w:t>
      </w:r>
    </w:p>
    <w:p w14:paraId="6C7ABE8B" w14:textId="179DB579" w:rsidR="002A05D3" w:rsidRPr="002A05D3" w:rsidRDefault="002A05D3" w:rsidP="002A05D3">
      <w:pPr>
        <w:pStyle w:val="Heading2acontentwithoutH2title"/>
        <w:numPr>
          <w:ilvl w:val="0"/>
          <w:numId w:val="0"/>
        </w:numPr>
        <w:ind w:left="851"/>
      </w:pPr>
      <w:r w:rsidRPr="002A05D3">
        <w:t>A firm must apply EDD measures on a risk-sensitive basis in any situation which, by its nature, can present a higher risk of money laundering or terrorist financing. As part of this, a firm may conclude, under its risk-based approach, that the standard evidence of identity is insufficient in relation to the money laundering or terrorist financing risk, and that it must obtain additional information about a particular customer.</w:t>
      </w:r>
    </w:p>
    <w:p w14:paraId="46A1A4C3" w14:textId="0CDEB7F3" w:rsidR="00686BB5" w:rsidRPr="00686BB5" w:rsidRDefault="002A05D3" w:rsidP="002A05D3">
      <w:pPr>
        <w:pStyle w:val="Heading2acontentwithoutH2title"/>
        <w:numPr>
          <w:ilvl w:val="0"/>
          <w:numId w:val="0"/>
        </w:numPr>
        <w:ind w:left="851"/>
      </w:pPr>
      <w:r w:rsidRPr="002A05D3">
        <w:t>The extent of additional information sought, and of any monitoring carried out in respect of any customer, or category of customer, will depend on the money laundering or terrorist financing risk that the customer, or category of customer, is assessed to present to the firm.</w:t>
      </w:r>
    </w:p>
    <w:p w14:paraId="5B523486" w14:textId="338C240B" w:rsidR="00F1417D" w:rsidRDefault="002A05D3" w:rsidP="00F1417D">
      <w:pPr>
        <w:pStyle w:val="Heading1"/>
        <w:keepNext w:val="0"/>
        <w:numPr>
          <w:ilvl w:val="0"/>
          <w:numId w:val="3"/>
        </w:numPr>
        <w:ind w:left="851" w:hanging="851"/>
      </w:pPr>
      <w:bookmarkStart w:id="19" w:name="_Toc80788303"/>
      <w:r>
        <w:t>Verification of client identity</w:t>
      </w:r>
      <w:bookmarkEnd w:id="19"/>
      <w:r>
        <w:t xml:space="preserve"> </w:t>
      </w:r>
    </w:p>
    <w:p w14:paraId="2BBE5C5A" w14:textId="025C7316" w:rsidR="00467E8E" w:rsidRDefault="0070239B" w:rsidP="00467E8E">
      <w:pPr>
        <w:pStyle w:val="Heading2acontentwithoutH2title"/>
        <w:numPr>
          <w:ilvl w:val="1"/>
          <w:numId w:val="3"/>
        </w:numPr>
        <w:ind w:left="851" w:hanging="851"/>
      </w:pPr>
      <w:bookmarkStart w:id="20" w:name="related-policies-and-documents"/>
      <w:bookmarkEnd w:id="20"/>
      <w:r>
        <w:t>Private Identification – Face to face</w:t>
      </w:r>
    </w:p>
    <w:p w14:paraId="3C1AD83D" w14:textId="5B64266A" w:rsidR="0070239B" w:rsidRPr="0070239B" w:rsidRDefault="0070239B" w:rsidP="0070239B">
      <w:pPr>
        <w:pStyle w:val="Heading2acontentwithoutH2title"/>
        <w:numPr>
          <w:ilvl w:val="0"/>
          <w:numId w:val="0"/>
        </w:numPr>
        <w:ind w:left="851"/>
      </w:pPr>
      <w:r w:rsidRPr="0070239B">
        <w:t>The standard identification requirement for customers who are private individuals is generally governed by the circumstances relating to the customer and the product type, which is being dealt in, i.e. the level of risk attributed to the product whether it is a reduced risk, intermediate risk or an increased risk product. Taking this into account for reduced risk and intermediate risk products, the following pieces of information are required as a standard for identification purposes:</w:t>
      </w:r>
    </w:p>
    <w:p w14:paraId="6CE6819C" w14:textId="77777777" w:rsidR="0070239B" w:rsidRPr="0070239B" w:rsidRDefault="0070239B" w:rsidP="004D6A7B">
      <w:pPr>
        <w:pStyle w:val="Heading2acontentwithoutH2title"/>
        <w:numPr>
          <w:ilvl w:val="0"/>
          <w:numId w:val="6"/>
        </w:numPr>
      </w:pPr>
      <w:r w:rsidRPr="0070239B">
        <w:t>Full Name</w:t>
      </w:r>
    </w:p>
    <w:p w14:paraId="62073BA0" w14:textId="77777777" w:rsidR="0070239B" w:rsidRPr="0070239B" w:rsidRDefault="0070239B" w:rsidP="004D6A7B">
      <w:pPr>
        <w:pStyle w:val="Heading2acontentwithoutH2title"/>
        <w:numPr>
          <w:ilvl w:val="0"/>
          <w:numId w:val="6"/>
        </w:numPr>
      </w:pPr>
      <w:r w:rsidRPr="0070239B">
        <w:t>Residential Address</w:t>
      </w:r>
    </w:p>
    <w:p w14:paraId="4A875000" w14:textId="77777777" w:rsidR="0070239B" w:rsidRPr="0070239B" w:rsidRDefault="0070239B" w:rsidP="004D6A7B">
      <w:pPr>
        <w:pStyle w:val="Heading2acontentwithoutH2title"/>
        <w:numPr>
          <w:ilvl w:val="0"/>
          <w:numId w:val="6"/>
        </w:numPr>
      </w:pPr>
      <w:r w:rsidRPr="0070239B">
        <w:lastRenderedPageBreak/>
        <w:t>Date of Birth</w:t>
      </w:r>
    </w:p>
    <w:p w14:paraId="5EA2E3F0" w14:textId="796A99EE" w:rsidR="00467E8E" w:rsidRDefault="0070239B" w:rsidP="00467E8E">
      <w:pPr>
        <w:pStyle w:val="Heading2acontentwithoutH2title"/>
        <w:numPr>
          <w:ilvl w:val="1"/>
          <w:numId w:val="3"/>
        </w:numPr>
        <w:ind w:left="851" w:hanging="851"/>
      </w:pPr>
      <w:r>
        <w:t>Verification</w:t>
      </w:r>
    </w:p>
    <w:p w14:paraId="56EDFE25" w14:textId="0378F809" w:rsidR="0070239B" w:rsidRPr="0070239B" w:rsidRDefault="0070239B" w:rsidP="0070239B">
      <w:pPr>
        <w:pStyle w:val="Heading2acontentwithoutH2title"/>
        <w:numPr>
          <w:ilvl w:val="0"/>
          <w:numId w:val="0"/>
        </w:numPr>
        <w:ind w:left="851"/>
      </w:pPr>
      <w:r w:rsidRPr="0070239B">
        <w:t>Verification of the information obtained must be based on reliable and independent sources – which might either be documents produced by the customer, or electronically by the firm, or by a combination of both. Where business is conducted face-to-face, firms should see originals of any documents involved in the verification.</w:t>
      </w:r>
    </w:p>
    <w:p w14:paraId="2687F3E7" w14:textId="52D010D0" w:rsidR="0070239B" w:rsidRPr="0070239B" w:rsidRDefault="0070239B" w:rsidP="0070239B">
      <w:pPr>
        <w:pStyle w:val="Heading2acontentwithoutH2title"/>
        <w:numPr>
          <w:ilvl w:val="0"/>
          <w:numId w:val="0"/>
        </w:numPr>
        <w:ind w:left="851"/>
      </w:pPr>
      <w:r w:rsidRPr="0070239B">
        <w:t>If documentary evidence of an individual’s identity is to provide a high level of confidence, it will typically have been issued by a government department or agency, or by a court, because there is a greater likelihood that the authorities will have checked the existence and characteristics of the persons concerned. In cases where such documentary evidence of identity may not be available to an individual, other evidence of identity may give the firm reasonable confidence in the customer’s identity, although the firm should weigh these against the risks involved.</w:t>
      </w:r>
    </w:p>
    <w:p w14:paraId="48A4B17F" w14:textId="77777777" w:rsidR="0070239B" w:rsidRPr="0070239B" w:rsidRDefault="0070239B" w:rsidP="0070239B">
      <w:pPr>
        <w:pStyle w:val="Heading2acontentwithoutH2title"/>
        <w:numPr>
          <w:ilvl w:val="0"/>
          <w:numId w:val="0"/>
        </w:numPr>
        <w:ind w:left="851"/>
      </w:pPr>
      <w:r w:rsidRPr="0070239B">
        <w:t>If the identity is to be verified from documents, this should be based on:</w:t>
      </w:r>
    </w:p>
    <w:p w14:paraId="713A380A" w14:textId="77777777" w:rsidR="0070239B" w:rsidRDefault="0070239B" w:rsidP="0070239B">
      <w:pPr>
        <w:rPr>
          <w:rFonts w:asciiTheme="minorHAnsi" w:hAnsiTheme="minorHAnsi" w:cstheme="minorHAnsi"/>
          <w:sz w:val="22"/>
        </w:rPr>
      </w:pPr>
    </w:p>
    <w:p w14:paraId="3F000E02" w14:textId="7FE85A1E" w:rsidR="0070239B" w:rsidRPr="0070239B" w:rsidRDefault="0070239B" w:rsidP="0070239B">
      <w:pPr>
        <w:pStyle w:val="Heading2acontentwithoutH2title"/>
        <w:numPr>
          <w:ilvl w:val="0"/>
          <w:numId w:val="0"/>
        </w:numPr>
        <w:ind w:left="851"/>
      </w:pPr>
      <w:r w:rsidRPr="0070239B">
        <w:t>Either a government issued document which incorporates:</w:t>
      </w:r>
    </w:p>
    <w:p w14:paraId="56477456" w14:textId="6A0293AE" w:rsidR="0070239B" w:rsidRPr="0070239B" w:rsidRDefault="0070239B" w:rsidP="004D6A7B">
      <w:pPr>
        <w:pStyle w:val="Heading2acontentwithoutH2title"/>
        <w:numPr>
          <w:ilvl w:val="0"/>
          <w:numId w:val="6"/>
        </w:numPr>
      </w:pPr>
      <w:r w:rsidRPr="0070239B">
        <w:t xml:space="preserve">The customer’s full name, and </w:t>
      </w:r>
    </w:p>
    <w:p w14:paraId="53FE771A" w14:textId="055DF950" w:rsidR="0070239B" w:rsidRPr="0070239B" w:rsidRDefault="0070239B" w:rsidP="0070239B">
      <w:pPr>
        <w:pStyle w:val="Heading2acontentwithoutH2title"/>
        <w:numPr>
          <w:ilvl w:val="0"/>
          <w:numId w:val="0"/>
        </w:numPr>
        <w:ind w:left="851"/>
      </w:pPr>
      <w:r w:rsidRPr="0070239B">
        <w:t>Either/Or</w:t>
      </w:r>
    </w:p>
    <w:p w14:paraId="642C13AF" w14:textId="77777777" w:rsidR="0070239B" w:rsidRPr="0070239B" w:rsidRDefault="0070239B" w:rsidP="004D6A7B">
      <w:pPr>
        <w:pStyle w:val="Heading2acontentwithoutH2title"/>
        <w:numPr>
          <w:ilvl w:val="0"/>
          <w:numId w:val="6"/>
        </w:numPr>
      </w:pPr>
      <w:r w:rsidRPr="0070239B">
        <w:t>Their residential address</w:t>
      </w:r>
    </w:p>
    <w:p w14:paraId="24D92E21" w14:textId="65D75F52" w:rsidR="0070239B" w:rsidRPr="0070239B" w:rsidRDefault="0070239B" w:rsidP="004D6A7B">
      <w:pPr>
        <w:pStyle w:val="Heading2acontentwithoutH2title"/>
        <w:numPr>
          <w:ilvl w:val="0"/>
          <w:numId w:val="6"/>
        </w:numPr>
      </w:pPr>
      <w:r w:rsidRPr="0070239B">
        <w:t>Their date of birth (see lists below)</w:t>
      </w:r>
    </w:p>
    <w:p w14:paraId="3ACB5BC4" w14:textId="77777777" w:rsidR="0070239B" w:rsidRPr="0070239B" w:rsidRDefault="0070239B" w:rsidP="0070239B">
      <w:pPr>
        <w:pStyle w:val="Heading2acontentwithoutH2title"/>
        <w:numPr>
          <w:ilvl w:val="0"/>
          <w:numId w:val="0"/>
        </w:numPr>
        <w:ind w:left="851"/>
      </w:pPr>
      <w:r w:rsidRPr="0070239B">
        <w:t>Photographic Government Issued Identity Documents:</w:t>
      </w:r>
    </w:p>
    <w:p w14:paraId="268C3563" w14:textId="77777777" w:rsidR="0070239B" w:rsidRPr="0070239B" w:rsidRDefault="0070239B" w:rsidP="004D6A7B">
      <w:pPr>
        <w:pStyle w:val="Heading2acontentwithoutH2title"/>
        <w:numPr>
          <w:ilvl w:val="0"/>
          <w:numId w:val="6"/>
        </w:numPr>
      </w:pPr>
      <w:r w:rsidRPr="0070239B">
        <w:t>Valid passport</w:t>
      </w:r>
    </w:p>
    <w:p w14:paraId="6BE8DFDE" w14:textId="77777777" w:rsidR="0070239B" w:rsidRPr="0070239B" w:rsidRDefault="0070239B" w:rsidP="004D6A7B">
      <w:pPr>
        <w:pStyle w:val="Heading2acontentwithoutH2title"/>
        <w:numPr>
          <w:ilvl w:val="0"/>
          <w:numId w:val="6"/>
        </w:numPr>
      </w:pPr>
      <w:r w:rsidRPr="0070239B">
        <w:t xml:space="preserve">Valid photo-card UK driving licence full or provisional </w:t>
      </w:r>
    </w:p>
    <w:p w14:paraId="5FE13DBC" w14:textId="77777777" w:rsidR="0070239B" w:rsidRPr="0070239B" w:rsidRDefault="0070239B" w:rsidP="004D6A7B">
      <w:pPr>
        <w:pStyle w:val="Heading2acontentwithoutH2title"/>
        <w:numPr>
          <w:ilvl w:val="0"/>
          <w:numId w:val="6"/>
        </w:numPr>
      </w:pPr>
      <w:r w:rsidRPr="0070239B">
        <w:t>National Identity card (non-UK nationals)</w:t>
      </w:r>
    </w:p>
    <w:p w14:paraId="5F0A3953" w14:textId="77777777" w:rsidR="0070239B" w:rsidRPr="0070239B" w:rsidRDefault="0070239B" w:rsidP="004D6A7B">
      <w:pPr>
        <w:pStyle w:val="Heading2acontentwithoutH2title"/>
        <w:numPr>
          <w:ilvl w:val="0"/>
          <w:numId w:val="6"/>
        </w:numPr>
      </w:pPr>
      <w:r w:rsidRPr="0070239B">
        <w:t>Firearms certificate or shotgun licence</w:t>
      </w:r>
    </w:p>
    <w:p w14:paraId="141FD5D4" w14:textId="38F1894C" w:rsidR="0070239B" w:rsidRPr="0070239B" w:rsidRDefault="0070239B" w:rsidP="004D6A7B">
      <w:pPr>
        <w:pStyle w:val="Heading2acontentwithoutH2title"/>
        <w:numPr>
          <w:ilvl w:val="0"/>
          <w:numId w:val="6"/>
        </w:numPr>
      </w:pPr>
      <w:r w:rsidRPr="0070239B">
        <w:t>Identity card issued by the Electoral Office for Northern Ireland</w:t>
      </w:r>
    </w:p>
    <w:p w14:paraId="7E5327AB" w14:textId="245AE5DB" w:rsidR="0070239B" w:rsidRPr="0070239B" w:rsidRDefault="0070239B" w:rsidP="0070239B">
      <w:pPr>
        <w:pStyle w:val="Heading2acontentwithoutH2title"/>
        <w:numPr>
          <w:ilvl w:val="0"/>
          <w:numId w:val="0"/>
        </w:numPr>
        <w:ind w:left="851"/>
      </w:pPr>
      <w:r w:rsidRPr="0070239B">
        <w:t>Alternatively, identify can be confirmed via a non-photographic government issued document which incorporates the customer’s full name, supported by a second document, which incorporates:</w:t>
      </w:r>
    </w:p>
    <w:p w14:paraId="5CBD05F0" w14:textId="443E7F09" w:rsidR="0070239B" w:rsidRPr="0070239B" w:rsidRDefault="0070239B" w:rsidP="004D6A7B">
      <w:pPr>
        <w:pStyle w:val="Heading2acontentwithoutH2title"/>
        <w:numPr>
          <w:ilvl w:val="0"/>
          <w:numId w:val="6"/>
        </w:numPr>
      </w:pPr>
      <w:r w:rsidRPr="0070239B">
        <w:t xml:space="preserve">The customer’s full name, and </w:t>
      </w:r>
    </w:p>
    <w:p w14:paraId="579E2207" w14:textId="2C9C5B0E" w:rsidR="0070239B" w:rsidRPr="0070239B" w:rsidRDefault="0070239B" w:rsidP="0070239B">
      <w:pPr>
        <w:pStyle w:val="Heading2acontentwithoutH2title"/>
        <w:numPr>
          <w:ilvl w:val="0"/>
          <w:numId w:val="0"/>
        </w:numPr>
        <w:ind w:left="851"/>
      </w:pPr>
      <w:r w:rsidRPr="0070239B">
        <w:t>Either/Or</w:t>
      </w:r>
    </w:p>
    <w:p w14:paraId="688C3F8E" w14:textId="77777777" w:rsidR="0070239B" w:rsidRPr="0070239B" w:rsidRDefault="0070239B" w:rsidP="004D6A7B">
      <w:pPr>
        <w:pStyle w:val="Heading2acontentwithoutH2title"/>
        <w:numPr>
          <w:ilvl w:val="0"/>
          <w:numId w:val="6"/>
        </w:numPr>
      </w:pPr>
      <w:r w:rsidRPr="0070239B">
        <w:t>Their residential address</w:t>
      </w:r>
    </w:p>
    <w:p w14:paraId="65D181AA" w14:textId="61664A8E" w:rsidR="0070239B" w:rsidRDefault="0070239B" w:rsidP="004D6A7B">
      <w:pPr>
        <w:pStyle w:val="Heading2acontentwithoutH2title"/>
        <w:numPr>
          <w:ilvl w:val="0"/>
          <w:numId w:val="6"/>
        </w:numPr>
      </w:pPr>
      <w:r w:rsidRPr="0070239B">
        <w:lastRenderedPageBreak/>
        <w:t>Their date of birth (see lists below)</w:t>
      </w:r>
    </w:p>
    <w:p w14:paraId="7242E793" w14:textId="77777777" w:rsidR="0070239B" w:rsidRPr="0070239B" w:rsidRDefault="0070239B" w:rsidP="0070239B">
      <w:pPr>
        <w:pStyle w:val="Heading2acontentwithoutH2title"/>
        <w:numPr>
          <w:ilvl w:val="1"/>
          <w:numId w:val="3"/>
        </w:numPr>
        <w:ind w:left="851" w:hanging="851"/>
      </w:pPr>
      <w:r w:rsidRPr="0070239B">
        <w:t>Non-Photographic Government Issued Identity Documents:</w:t>
      </w:r>
    </w:p>
    <w:p w14:paraId="60626349" w14:textId="77777777" w:rsidR="0070239B" w:rsidRPr="0070239B" w:rsidRDefault="0070239B" w:rsidP="004D6A7B">
      <w:pPr>
        <w:pStyle w:val="Heading2acontentwithoutH2title"/>
        <w:numPr>
          <w:ilvl w:val="0"/>
          <w:numId w:val="6"/>
        </w:numPr>
      </w:pPr>
      <w:r w:rsidRPr="0070239B">
        <w:t>Valid full non-photographic UK Driving Licence (may be used as proof of address or identity but not both)</w:t>
      </w:r>
    </w:p>
    <w:p w14:paraId="3987CEC5" w14:textId="77777777" w:rsidR="0070239B" w:rsidRPr="0070239B" w:rsidRDefault="0070239B" w:rsidP="004D6A7B">
      <w:pPr>
        <w:pStyle w:val="Heading2acontentwithoutH2title"/>
        <w:numPr>
          <w:ilvl w:val="0"/>
          <w:numId w:val="6"/>
        </w:numPr>
      </w:pPr>
      <w:r w:rsidRPr="0070239B">
        <w:t>State Pension/Benefits Book or Notification Letter (may be used as proof of address or identity but not both)</w:t>
      </w:r>
    </w:p>
    <w:p w14:paraId="2A1440F2" w14:textId="77777777" w:rsidR="0070239B" w:rsidRPr="0070239B" w:rsidRDefault="0070239B" w:rsidP="004D6A7B">
      <w:pPr>
        <w:pStyle w:val="Heading2acontentwithoutH2title"/>
        <w:numPr>
          <w:ilvl w:val="0"/>
          <w:numId w:val="6"/>
        </w:numPr>
      </w:pPr>
      <w:r w:rsidRPr="0070239B">
        <w:t>Sub-contractors Certificate</w:t>
      </w:r>
    </w:p>
    <w:p w14:paraId="660C5489" w14:textId="77777777" w:rsidR="0070239B" w:rsidRPr="0070239B" w:rsidRDefault="0070239B" w:rsidP="004D6A7B">
      <w:pPr>
        <w:pStyle w:val="Heading2acontentwithoutH2title"/>
        <w:numPr>
          <w:ilvl w:val="0"/>
          <w:numId w:val="6"/>
        </w:numPr>
      </w:pPr>
      <w:r w:rsidRPr="0070239B">
        <w:t>HMRC Tax Notification (P45 or P60 may not be used)</w:t>
      </w:r>
    </w:p>
    <w:p w14:paraId="0213F6B2" w14:textId="77777777" w:rsidR="0070239B" w:rsidRPr="0070239B" w:rsidRDefault="0070239B" w:rsidP="004D6A7B">
      <w:pPr>
        <w:pStyle w:val="Heading2acontentwithoutH2title"/>
        <w:numPr>
          <w:ilvl w:val="0"/>
          <w:numId w:val="6"/>
        </w:numPr>
      </w:pPr>
      <w:r w:rsidRPr="0070239B">
        <w:t>Resident Permit issued to EU Nationals by Home Office</w:t>
      </w:r>
    </w:p>
    <w:p w14:paraId="52EBC5DB" w14:textId="77777777" w:rsidR="0070239B" w:rsidRPr="0070239B" w:rsidRDefault="0070239B" w:rsidP="004D6A7B">
      <w:pPr>
        <w:pStyle w:val="Heading2acontentwithoutH2title"/>
        <w:numPr>
          <w:ilvl w:val="0"/>
          <w:numId w:val="6"/>
        </w:numPr>
      </w:pPr>
      <w:r w:rsidRPr="0070239B">
        <w:t>Identity Card (EEA members and Switzerland only)</w:t>
      </w:r>
    </w:p>
    <w:p w14:paraId="3A124F6F" w14:textId="77777777" w:rsidR="0070239B" w:rsidRPr="0070239B" w:rsidRDefault="0070239B" w:rsidP="004D6A7B">
      <w:pPr>
        <w:pStyle w:val="Heading2acontentwithoutH2title"/>
        <w:numPr>
          <w:ilvl w:val="0"/>
          <w:numId w:val="6"/>
        </w:numPr>
      </w:pPr>
      <w:r w:rsidRPr="0070239B">
        <w:t>Local Authority Tax Bill</w:t>
      </w:r>
    </w:p>
    <w:p w14:paraId="277383B3" w14:textId="77777777" w:rsidR="0070239B" w:rsidRPr="0070239B" w:rsidRDefault="0070239B" w:rsidP="0070239B">
      <w:pPr>
        <w:pStyle w:val="Heading2acontentwithoutH2title"/>
        <w:numPr>
          <w:ilvl w:val="1"/>
          <w:numId w:val="3"/>
        </w:numPr>
        <w:ind w:left="851" w:hanging="851"/>
      </w:pPr>
      <w:r w:rsidRPr="0070239B">
        <w:t>Evidence of Address</w:t>
      </w:r>
    </w:p>
    <w:p w14:paraId="111459E5" w14:textId="77777777" w:rsidR="0070239B" w:rsidRPr="0070239B" w:rsidRDefault="0070239B" w:rsidP="004D6A7B">
      <w:pPr>
        <w:pStyle w:val="Heading2acontentwithoutH2title"/>
        <w:numPr>
          <w:ilvl w:val="0"/>
          <w:numId w:val="6"/>
        </w:numPr>
      </w:pPr>
      <w:r w:rsidRPr="0070239B">
        <w:t>Current bank statements, or credit/debit card statements, issued by a regulated financial sector firm in the UK, EU or an equivalent jurisdiction (but not ones printed off the internet and not less than 3 months old)</w:t>
      </w:r>
    </w:p>
    <w:p w14:paraId="54C971A5" w14:textId="77777777" w:rsidR="0070239B" w:rsidRPr="0070239B" w:rsidRDefault="0070239B" w:rsidP="004D6A7B">
      <w:pPr>
        <w:pStyle w:val="Heading2acontentwithoutH2title"/>
        <w:numPr>
          <w:ilvl w:val="0"/>
          <w:numId w:val="6"/>
        </w:numPr>
      </w:pPr>
      <w:r w:rsidRPr="0070239B">
        <w:t>House or motor insurance certificate</w:t>
      </w:r>
    </w:p>
    <w:p w14:paraId="4F199D68" w14:textId="77777777" w:rsidR="0070239B" w:rsidRPr="0070239B" w:rsidRDefault="0070239B" w:rsidP="004D6A7B">
      <w:pPr>
        <w:pStyle w:val="Heading2acontentwithoutH2title"/>
        <w:numPr>
          <w:ilvl w:val="0"/>
          <w:numId w:val="6"/>
        </w:numPr>
      </w:pPr>
      <w:r w:rsidRPr="0070239B">
        <w:t>Utility bills (not including mobile phone bills, not ones printed off the internet and not less than 3 months old)</w:t>
      </w:r>
    </w:p>
    <w:p w14:paraId="24B89026" w14:textId="77777777" w:rsidR="0070239B" w:rsidRPr="0070239B" w:rsidRDefault="0070239B" w:rsidP="004D6A7B">
      <w:pPr>
        <w:pStyle w:val="Heading2acontentwithoutH2title"/>
        <w:numPr>
          <w:ilvl w:val="0"/>
          <w:numId w:val="6"/>
        </w:numPr>
      </w:pPr>
      <w:r w:rsidRPr="0070239B">
        <w:t>Current council tax demand letter or statement, rent card or tenancy agreement</w:t>
      </w:r>
    </w:p>
    <w:p w14:paraId="577ED4D3" w14:textId="77777777" w:rsidR="0070239B" w:rsidRPr="0070239B" w:rsidRDefault="0070239B" w:rsidP="004D6A7B">
      <w:pPr>
        <w:pStyle w:val="Heading2acontentwithoutH2title"/>
        <w:numPr>
          <w:ilvl w:val="0"/>
          <w:numId w:val="6"/>
        </w:numPr>
      </w:pPr>
      <w:r w:rsidRPr="0070239B">
        <w:t>Home visit (premises must be entered)</w:t>
      </w:r>
    </w:p>
    <w:p w14:paraId="37B78662" w14:textId="77777777" w:rsidR="0070239B" w:rsidRPr="0070239B" w:rsidRDefault="0070239B" w:rsidP="004D6A7B">
      <w:pPr>
        <w:pStyle w:val="Heading2acontentwithoutH2title"/>
        <w:numPr>
          <w:ilvl w:val="0"/>
          <w:numId w:val="6"/>
        </w:numPr>
      </w:pPr>
      <w:r w:rsidRPr="0070239B">
        <w:t>Solicitor letter confirming completion of house purchase or land registration (certified copy)</w:t>
      </w:r>
    </w:p>
    <w:p w14:paraId="16AB2E61" w14:textId="77777777" w:rsidR="0070239B" w:rsidRPr="0070239B" w:rsidRDefault="0070239B" w:rsidP="004D6A7B">
      <w:pPr>
        <w:pStyle w:val="Heading2acontentwithoutH2title"/>
        <w:numPr>
          <w:ilvl w:val="0"/>
          <w:numId w:val="6"/>
        </w:numPr>
      </w:pPr>
      <w:r w:rsidRPr="0070239B">
        <w:t>Electoral role check (certified copy)</w:t>
      </w:r>
    </w:p>
    <w:p w14:paraId="401EEB5F" w14:textId="77777777" w:rsidR="0070239B" w:rsidRPr="0070239B" w:rsidRDefault="0070239B" w:rsidP="004D6A7B">
      <w:pPr>
        <w:pStyle w:val="Heading2acontentwithoutH2title"/>
        <w:numPr>
          <w:ilvl w:val="0"/>
          <w:numId w:val="6"/>
        </w:numPr>
      </w:pPr>
      <w:r w:rsidRPr="0070239B">
        <w:t>State Pension or Benefits Book (may be used as proof of address or identity but not both)</w:t>
      </w:r>
    </w:p>
    <w:p w14:paraId="0106DD4E" w14:textId="6E0B7FAE" w:rsidR="0070239B" w:rsidRPr="0070239B" w:rsidRDefault="0070239B" w:rsidP="004D6A7B">
      <w:pPr>
        <w:pStyle w:val="Heading2acontentwithoutH2title"/>
        <w:numPr>
          <w:ilvl w:val="0"/>
          <w:numId w:val="6"/>
        </w:numPr>
      </w:pPr>
      <w:r w:rsidRPr="0070239B">
        <w:t>Valid UK driving licence (may be used as proof of address or identity but not both)</w:t>
      </w:r>
    </w:p>
    <w:p w14:paraId="53D7F4EF" w14:textId="0137C468" w:rsidR="0070239B" w:rsidRPr="0070239B" w:rsidRDefault="0070239B" w:rsidP="0070239B">
      <w:pPr>
        <w:pStyle w:val="Heading2acontentwithoutH2title"/>
        <w:numPr>
          <w:ilvl w:val="0"/>
          <w:numId w:val="0"/>
        </w:numPr>
        <w:ind w:left="851"/>
      </w:pPr>
      <w:r w:rsidRPr="0070239B">
        <w:t>For increased risk level products, in addition to obtaining the standard information detailed above, the following know your customer information should be obtained and recorded:</w:t>
      </w:r>
    </w:p>
    <w:p w14:paraId="1AC6B95B" w14:textId="77777777" w:rsidR="0070239B" w:rsidRPr="0070239B" w:rsidRDefault="0070239B" w:rsidP="004D6A7B">
      <w:pPr>
        <w:pStyle w:val="Heading2acontentwithoutH2title"/>
        <w:numPr>
          <w:ilvl w:val="0"/>
          <w:numId w:val="6"/>
        </w:numPr>
      </w:pPr>
      <w:r w:rsidRPr="0070239B">
        <w:t>Employment and income details</w:t>
      </w:r>
    </w:p>
    <w:p w14:paraId="5D4B3D85" w14:textId="7C88D95D" w:rsidR="0070239B" w:rsidRPr="0070239B" w:rsidRDefault="0070239B" w:rsidP="004D6A7B">
      <w:pPr>
        <w:pStyle w:val="Heading2acontentwithoutH2title"/>
        <w:numPr>
          <w:ilvl w:val="0"/>
          <w:numId w:val="6"/>
        </w:numPr>
      </w:pPr>
      <w:r w:rsidRPr="0070239B">
        <w:t>Source of wealth (i.e. source of the funds being used in the transaction)</w:t>
      </w:r>
    </w:p>
    <w:p w14:paraId="62D92269" w14:textId="52CEA98C" w:rsidR="0070239B" w:rsidRPr="0070239B" w:rsidRDefault="0070239B" w:rsidP="0070239B">
      <w:pPr>
        <w:pStyle w:val="Heading2acontentwithoutH2title"/>
        <w:numPr>
          <w:ilvl w:val="1"/>
          <w:numId w:val="3"/>
        </w:numPr>
        <w:ind w:left="851" w:hanging="851"/>
      </w:pPr>
      <w:r w:rsidRPr="0070239B">
        <w:lastRenderedPageBreak/>
        <w:t>Non-Government Issued Identity Documents</w:t>
      </w:r>
    </w:p>
    <w:p w14:paraId="3F8584C7" w14:textId="0B55651F" w:rsidR="0070239B" w:rsidRPr="0070239B" w:rsidRDefault="0070239B" w:rsidP="0070239B">
      <w:pPr>
        <w:pStyle w:val="Heading2acontentwithoutH2title"/>
        <w:numPr>
          <w:ilvl w:val="0"/>
          <w:numId w:val="0"/>
        </w:numPr>
        <w:ind w:left="851"/>
      </w:pPr>
      <w:r w:rsidRPr="0070239B">
        <w:t>Non-government-issued documentary evidence confirming identity should normally only be accepted if it originates from a public-sector body or another regulated financial services firm or is supplemented by knowledge that the firm has of the person or entity, which it has documented.</w:t>
      </w:r>
    </w:p>
    <w:p w14:paraId="7D44E790" w14:textId="77777777" w:rsidR="0070239B" w:rsidRPr="0070239B" w:rsidRDefault="0070239B" w:rsidP="0070239B">
      <w:pPr>
        <w:pStyle w:val="Heading2acontentwithoutH2title"/>
        <w:numPr>
          <w:ilvl w:val="1"/>
          <w:numId w:val="3"/>
        </w:numPr>
        <w:ind w:left="851" w:hanging="851"/>
      </w:pPr>
      <w:r w:rsidRPr="0070239B">
        <w:t>Electronic Verification</w:t>
      </w:r>
    </w:p>
    <w:p w14:paraId="565A82B5" w14:textId="10072EF7" w:rsidR="007C7C90" w:rsidRPr="007C7C90" w:rsidRDefault="007C7C90" w:rsidP="007C7C90">
      <w:pPr>
        <w:pStyle w:val="Heading2acontentwithoutH2title"/>
        <w:numPr>
          <w:ilvl w:val="0"/>
          <w:numId w:val="0"/>
        </w:numPr>
        <w:ind w:left="851"/>
      </w:pPr>
      <w:r w:rsidRPr="007C7C90">
        <w:t>Before using a commercial agency for electronic verification, a firm should be satisfied that information supplied by the data provider is considered to be sufficiently extensive, reliable and accurate. This judgment may be assisted by considering whether the provider meets all the following criteria:</w:t>
      </w:r>
    </w:p>
    <w:p w14:paraId="695539E2" w14:textId="77777777" w:rsidR="007C7C90" w:rsidRPr="007C7C90" w:rsidRDefault="007C7C90" w:rsidP="004D6A7B">
      <w:pPr>
        <w:pStyle w:val="Heading2acontentwithoutH2title"/>
        <w:numPr>
          <w:ilvl w:val="0"/>
          <w:numId w:val="6"/>
        </w:numPr>
      </w:pPr>
      <w:r w:rsidRPr="007C7C90">
        <w:t>it is recognised, through registration with the Information Commissioner’s Office, to store personal data;</w:t>
      </w:r>
    </w:p>
    <w:p w14:paraId="059A9508" w14:textId="77777777" w:rsidR="007C7C90" w:rsidRPr="007C7C90" w:rsidRDefault="007C7C90" w:rsidP="004D6A7B">
      <w:pPr>
        <w:pStyle w:val="Heading2acontentwithoutH2title"/>
        <w:numPr>
          <w:ilvl w:val="0"/>
          <w:numId w:val="6"/>
        </w:numPr>
      </w:pPr>
      <w:r w:rsidRPr="007C7C90">
        <w:t>it uses a range of positive information sources that can be called upon to link an applicant to both current and previous circumstances;</w:t>
      </w:r>
    </w:p>
    <w:p w14:paraId="16540609" w14:textId="77777777" w:rsidR="007C7C90" w:rsidRPr="007C7C90" w:rsidRDefault="007C7C90" w:rsidP="004D6A7B">
      <w:pPr>
        <w:pStyle w:val="Heading2acontentwithoutH2title"/>
        <w:numPr>
          <w:ilvl w:val="0"/>
          <w:numId w:val="6"/>
        </w:numPr>
      </w:pPr>
      <w:r w:rsidRPr="007C7C90">
        <w:t>it accesses negative information sources, such as databases relating to identity fraud and deceased persons;</w:t>
      </w:r>
    </w:p>
    <w:p w14:paraId="30784E9A" w14:textId="77777777" w:rsidR="007C7C90" w:rsidRPr="007C7C90" w:rsidRDefault="007C7C90" w:rsidP="004D6A7B">
      <w:pPr>
        <w:pStyle w:val="Heading2acontentwithoutH2title"/>
        <w:numPr>
          <w:ilvl w:val="0"/>
          <w:numId w:val="6"/>
        </w:numPr>
      </w:pPr>
      <w:r w:rsidRPr="007C7C90">
        <w:t>it accesses a wide range of alert data sources; and</w:t>
      </w:r>
    </w:p>
    <w:p w14:paraId="7FD79F0F" w14:textId="7CD73B1E" w:rsidR="007C7C90" w:rsidRPr="007C7C90" w:rsidRDefault="007C7C90" w:rsidP="004D6A7B">
      <w:pPr>
        <w:pStyle w:val="Heading2acontentwithoutH2title"/>
        <w:numPr>
          <w:ilvl w:val="0"/>
          <w:numId w:val="6"/>
        </w:numPr>
      </w:pPr>
      <w:r w:rsidRPr="007C7C90">
        <w:t>it has transparent processes that enable the firm to know what checks were carried out, what the results of these checks were and what they mean in terms of how much certainty they give as to the identity of the subject</w:t>
      </w:r>
      <w:r>
        <w:t>.</w:t>
      </w:r>
    </w:p>
    <w:p w14:paraId="0DFE0E6B" w14:textId="77777777" w:rsidR="007C7C90" w:rsidRPr="007C7C90" w:rsidRDefault="007C7C90" w:rsidP="007C7C90">
      <w:pPr>
        <w:pStyle w:val="Heading2acontentwithoutH2title"/>
        <w:numPr>
          <w:ilvl w:val="0"/>
          <w:numId w:val="0"/>
        </w:numPr>
        <w:ind w:left="851"/>
      </w:pPr>
      <w:r w:rsidRPr="007C7C90">
        <w:t>It is important that the process of electronic verification meets a standard level of confirmation before it can be relied on. The standard level of confirmation, in circumstances that do not give rise to concern or uncertainty, is:</w:t>
      </w:r>
    </w:p>
    <w:p w14:paraId="667BDE09" w14:textId="77777777" w:rsidR="007C7C90" w:rsidRPr="007C7C90" w:rsidRDefault="007C7C90" w:rsidP="004D6A7B">
      <w:pPr>
        <w:pStyle w:val="Heading2acontentwithoutH2title"/>
        <w:numPr>
          <w:ilvl w:val="0"/>
          <w:numId w:val="6"/>
        </w:numPr>
      </w:pPr>
      <w:r w:rsidRPr="007C7C90">
        <w:t>one match on an individual’s full name and current address, and</w:t>
      </w:r>
    </w:p>
    <w:p w14:paraId="65103371" w14:textId="2F40D9EF" w:rsidR="007C7C90" w:rsidRPr="007C7C90" w:rsidRDefault="007C7C90" w:rsidP="004D6A7B">
      <w:pPr>
        <w:pStyle w:val="Heading2acontentwithoutH2title"/>
        <w:numPr>
          <w:ilvl w:val="0"/>
          <w:numId w:val="6"/>
        </w:numPr>
      </w:pPr>
      <w:r w:rsidRPr="007C7C90">
        <w:t>a second match on an individual’s full name and either his current address or his date of birth.</w:t>
      </w:r>
    </w:p>
    <w:p w14:paraId="76B015EB" w14:textId="120A5E1A" w:rsidR="007C7C90" w:rsidRPr="007C7C90" w:rsidRDefault="007C7C90" w:rsidP="007C7C90">
      <w:pPr>
        <w:pStyle w:val="Heading2acontentwithoutH2title"/>
        <w:numPr>
          <w:ilvl w:val="0"/>
          <w:numId w:val="0"/>
        </w:numPr>
        <w:ind w:left="851"/>
      </w:pPr>
      <w:r w:rsidRPr="007C7C90">
        <w:t>To mitigate the risk of impersonation fraud, firms should either verify with the customer additional aspects of his identity which are held electronically.</w:t>
      </w:r>
    </w:p>
    <w:p w14:paraId="5C45D2CD" w14:textId="77777777" w:rsidR="007C7C90" w:rsidRPr="007C7C90" w:rsidRDefault="007C7C90" w:rsidP="004D6A7B">
      <w:pPr>
        <w:pStyle w:val="Heading2acontentwithoutH2title"/>
        <w:numPr>
          <w:ilvl w:val="0"/>
          <w:numId w:val="6"/>
        </w:numPr>
      </w:pPr>
      <w:r w:rsidRPr="007C7C90">
        <w:t>Where identity is verified electronically, or copy documents are used, a firm should apply an additional verification check to manage the risk of impersonation fraud. These may be checks which the firm routinely undertakes as part of its existing procedures including:</w:t>
      </w:r>
    </w:p>
    <w:p w14:paraId="7DB4FB2E" w14:textId="77777777" w:rsidR="007C7C90" w:rsidRPr="007C7C90" w:rsidRDefault="007C7C90" w:rsidP="004D6A7B">
      <w:pPr>
        <w:pStyle w:val="Heading2acontentwithoutH2title"/>
        <w:numPr>
          <w:ilvl w:val="0"/>
          <w:numId w:val="6"/>
        </w:numPr>
      </w:pPr>
      <w:r w:rsidRPr="007C7C90">
        <w:t>requiring the first payment to be carried out through an account in the customer’s name with a UK or EU regulated credit institution</w:t>
      </w:r>
    </w:p>
    <w:p w14:paraId="23150574" w14:textId="77777777" w:rsidR="007C7C90" w:rsidRPr="007C7C90" w:rsidRDefault="007C7C90" w:rsidP="004D6A7B">
      <w:pPr>
        <w:pStyle w:val="Heading2acontentwithoutH2title"/>
        <w:numPr>
          <w:ilvl w:val="0"/>
          <w:numId w:val="6"/>
        </w:numPr>
      </w:pPr>
      <w:r w:rsidRPr="007C7C90">
        <w:lastRenderedPageBreak/>
        <w:t>telephone contact with the customer prior to opening the account on a home or business number which has been verified using it to verify additional aspects of personal identity information that have been previously provided during the setting up of the account</w:t>
      </w:r>
    </w:p>
    <w:p w14:paraId="787F02C9" w14:textId="77777777" w:rsidR="007C7C90" w:rsidRPr="007C7C90" w:rsidRDefault="007C7C90" w:rsidP="004D6A7B">
      <w:pPr>
        <w:pStyle w:val="Heading2acontentwithoutH2title"/>
        <w:numPr>
          <w:ilvl w:val="0"/>
          <w:numId w:val="6"/>
        </w:numPr>
      </w:pPr>
      <w:r w:rsidRPr="007C7C90">
        <w:t>communicating with the customer at an address that has been verified</w:t>
      </w:r>
    </w:p>
    <w:p w14:paraId="3B9ADC72" w14:textId="77777777" w:rsidR="007C7C90" w:rsidRPr="007C7C90" w:rsidRDefault="007C7C90" w:rsidP="004D6A7B">
      <w:pPr>
        <w:pStyle w:val="Heading2acontentwithoutH2title"/>
        <w:numPr>
          <w:ilvl w:val="0"/>
          <w:numId w:val="6"/>
        </w:numPr>
      </w:pPr>
      <w:r w:rsidRPr="007C7C90">
        <w:t>requiring copy documents to be certified by an appropriate person</w:t>
      </w:r>
    </w:p>
    <w:p w14:paraId="3F07CBF8" w14:textId="77777777" w:rsidR="007C7C90" w:rsidRPr="007C7C90" w:rsidRDefault="007C7C90" w:rsidP="004D6A7B">
      <w:pPr>
        <w:pStyle w:val="Heading2acontentwithoutH2title"/>
        <w:numPr>
          <w:ilvl w:val="0"/>
          <w:numId w:val="6"/>
        </w:numPr>
      </w:pPr>
      <w:r w:rsidRPr="007C7C90">
        <w:t>internet sign-on following verification procedures where the customer uses security codes, tokens, and other passwords which have been set up during account opening and provided by mail</w:t>
      </w:r>
    </w:p>
    <w:p w14:paraId="2928B8AB" w14:textId="77777777" w:rsidR="007C7C90" w:rsidRPr="007C7C90" w:rsidRDefault="007C7C90" w:rsidP="004D6A7B">
      <w:pPr>
        <w:pStyle w:val="Heading2acontentwithoutH2title"/>
        <w:numPr>
          <w:ilvl w:val="0"/>
          <w:numId w:val="6"/>
        </w:numPr>
      </w:pPr>
      <w:r w:rsidRPr="007C7C90">
        <w:t>other card or account activation procedures</w:t>
      </w:r>
    </w:p>
    <w:p w14:paraId="110F4445" w14:textId="77777777" w:rsidR="007C7C90" w:rsidRPr="007C7C90" w:rsidRDefault="007C7C90" w:rsidP="007C7C90">
      <w:pPr>
        <w:pStyle w:val="Heading2acontentwithoutH2title"/>
        <w:numPr>
          <w:ilvl w:val="1"/>
          <w:numId w:val="3"/>
        </w:numPr>
        <w:ind w:left="851" w:hanging="851"/>
      </w:pPr>
      <w:bookmarkStart w:id="21" w:name="_Toc234814607"/>
      <w:bookmarkStart w:id="22" w:name="_Toc234899826"/>
      <w:r w:rsidRPr="007C7C90">
        <w:t>Non ‘Face to Face’ Customers</w:t>
      </w:r>
      <w:bookmarkEnd w:id="21"/>
      <w:bookmarkEnd w:id="22"/>
    </w:p>
    <w:p w14:paraId="1D16B323" w14:textId="265AEDA2" w:rsidR="007C7C90" w:rsidRPr="007C7C90" w:rsidRDefault="007C7C90" w:rsidP="007C7C90">
      <w:pPr>
        <w:pStyle w:val="Heading2acontentwithoutH2title"/>
        <w:numPr>
          <w:ilvl w:val="0"/>
          <w:numId w:val="0"/>
        </w:numPr>
        <w:ind w:left="851"/>
      </w:pPr>
      <w:r w:rsidRPr="007C7C90">
        <w:t>Non-Face-to-Face due diligence applies to any client whom you are not meeting in person. Non-Face-to-Face transactions pose a greater risk than those conducted in person because it is more difficult to be sure that the person with whom you are dealing is the person they claim to be. Therefore, this type of customer would qualify for an enhanced due diligence check.</w:t>
      </w:r>
    </w:p>
    <w:p w14:paraId="0AE319F0" w14:textId="77777777" w:rsidR="007C7C90" w:rsidRPr="007C7C90" w:rsidRDefault="007C7C90" w:rsidP="007C7C90">
      <w:pPr>
        <w:pStyle w:val="Heading2acontentwithoutH2title"/>
        <w:numPr>
          <w:ilvl w:val="0"/>
          <w:numId w:val="0"/>
        </w:numPr>
        <w:ind w:left="851"/>
      </w:pPr>
      <w:r w:rsidRPr="007C7C90">
        <w:t>Where verification of identity is conducted remotely the original documentation will either need to be obtained by electronic means, post or copies provided which have been certified by a person of appropriate standing. Originals of personal identity documents should not be submitted via post, instead, certified copies of these documents should be forwarded to the firm as this will protect against dangers of postal intercept and fraud.</w:t>
      </w:r>
    </w:p>
    <w:p w14:paraId="71AF2DC8" w14:textId="77777777" w:rsidR="007C7C90" w:rsidRPr="007C7C90" w:rsidRDefault="007C7C90" w:rsidP="007C7C90">
      <w:pPr>
        <w:pStyle w:val="Heading2acontentwithoutH2title"/>
        <w:numPr>
          <w:ilvl w:val="1"/>
          <w:numId w:val="3"/>
        </w:numPr>
        <w:ind w:left="851" w:hanging="851"/>
      </w:pPr>
      <w:r w:rsidRPr="007C7C90">
        <w:t>UK Nationals</w:t>
      </w:r>
    </w:p>
    <w:p w14:paraId="6285499A" w14:textId="640C9DDB" w:rsidR="007C7C90" w:rsidRPr="007C7C90" w:rsidRDefault="007C7C90" w:rsidP="007C7C90">
      <w:pPr>
        <w:pStyle w:val="Heading2acontentwithoutH2title"/>
        <w:numPr>
          <w:ilvl w:val="0"/>
          <w:numId w:val="0"/>
        </w:numPr>
        <w:ind w:left="851"/>
      </w:pPr>
      <w:r w:rsidRPr="007C7C90">
        <w:t>Certification of identity documents of UK nationals can be undertaken by a regulated or professional person covered by the money laundering regulations or by somebody from a government department/agency or organisation. This means that the documentation could be certified by one of the following people:</w:t>
      </w:r>
    </w:p>
    <w:p w14:paraId="2E6584B2" w14:textId="77777777" w:rsidR="007C7C90" w:rsidRPr="007C7C90" w:rsidRDefault="007C7C90" w:rsidP="004D6A7B">
      <w:pPr>
        <w:pStyle w:val="Heading2acontentwithoutH2title"/>
        <w:numPr>
          <w:ilvl w:val="0"/>
          <w:numId w:val="6"/>
        </w:numPr>
      </w:pPr>
      <w:r w:rsidRPr="007C7C90">
        <w:t>Accountant</w:t>
      </w:r>
    </w:p>
    <w:p w14:paraId="07A05BC9" w14:textId="77777777" w:rsidR="007C7C90" w:rsidRPr="007C7C90" w:rsidRDefault="007C7C90" w:rsidP="004D6A7B">
      <w:pPr>
        <w:pStyle w:val="Heading2acontentwithoutH2title"/>
        <w:numPr>
          <w:ilvl w:val="0"/>
          <w:numId w:val="6"/>
        </w:numPr>
      </w:pPr>
      <w:r w:rsidRPr="007C7C90">
        <w:t>Authorised Financial Intermediary</w:t>
      </w:r>
    </w:p>
    <w:p w14:paraId="2DEDED8F" w14:textId="77777777" w:rsidR="007C7C90" w:rsidRPr="007C7C90" w:rsidRDefault="007C7C90" w:rsidP="004D6A7B">
      <w:pPr>
        <w:pStyle w:val="Heading2acontentwithoutH2title"/>
        <w:numPr>
          <w:ilvl w:val="0"/>
          <w:numId w:val="6"/>
        </w:numPr>
      </w:pPr>
      <w:r w:rsidRPr="007C7C90">
        <w:t>Banker</w:t>
      </w:r>
    </w:p>
    <w:p w14:paraId="1BBF61FD" w14:textId="77777777" w:rsidR="007C7C90" w:rsidRPr="007C7C90" w:rsidRDefault="007C7C90" w:rsidP="004D6A7B">
      <w:pPr>
        <w:pStyle w:val="Heading2acontentwithoutH2title"/>
        <w:numPr>
          <w:ilvl w:val="0"/>
          <w:numId w:val="6"/>
        </w:numPr>
      </w:pPr>
      <w:r w:rsidRPr="007C7C90">
        <w:t>Civil Servant</w:t>
      </w:r>
    </w:p>
    <w:p w14:paraId="181EF4FD" w14:textId="77777777" w:rsidR="007C7C90" w:rsidRPr="007C7C90" w:rsidRDefault="007C7C90" w:rsidP="004D6A7B">
      <w:pPr>
        <w:pStyle w:val="Heading2acontentwithoutH2title"/>
        <w:numPr>
          <w:ilvl w:val="0"/>
          <w:numId w:val="6"/>
        </w:numPr>
      </w:pPr>
      <w:r w:rsidRPr="007C7C90">
        <w:t>Doctor</w:t>
      </w:r>
    </w:p>
    <w:p w14:paraId="76A94BB9" w14:textId="77777777" w:rsidR="007C7C90" w:rsidRPr="007C7C90" w:rsidRDefault="007C7C90" w:rsidP="004D6A7B">
      <w:pPr>
        <w:pStyle w:val="Heading2acontentwithoutH2title"/>
        <w:numPr>
          <w:ilvl w:val="0"/>
          <w:numId w:val="6"/>
        </w:numPr>
      </w:pPr>
      <w:r w:rsidRPr="007C7C90">
        <w:t>Solicitor</w:t>
      </w:r>
    </w:p>
    <w:p w14:paraId="57CAF2CA" w14:textId="77777777" w:rsidR="007C7C90" w:rsidRPr="007C7C90" w:rsidRDefault="007C7C90" w:rsidP="004D6A7B">
      <w:pPr>
        <w:pStyle w:val="Heading2acontentwithoutH2title"/>
        <w:numPr>
          <w:ilvl w:val="0"/>
          <w:numId w:val="6"/>
        </w:numPr>
      </w:pPr>
      <w:r w:rsidRPr="007C7C90">
        <w:t>Teacher</w:t>
      </w:r>
    </w:p>
    <w:p w14:paraId="1FD10F85" w14:textId="77777777" w:rsidR="007C7C90" w:rsidRPr="007C7C90" w:rsidRDefault="007C7C90" w:rsidP="004D6A7B">
      <w:pPr>
        <w:pStyle w:val="Heading2acontentwithoutH2title"/>
        <w:numPr>
          <w:ilvl w:val="0"/>
          <w:numId w:val="6"/>
        </w:numPr>
      </w:pPr>
      <w:r w:rsidRPr="007C7C90">
        <w:t>Other qualified Individuals</w:t>
      </w:r>
    </w:p>
    <w:p w14:paraId="2BD55C54" w14:textId="77777777" w:rsidR="007C7C90" w:rsidRPr="007C7C90" w:rsidRDefault="007C7C90" w:rsidP="007C7C90">
      <w:pPr>
        <w:pStyle w:val="Heading2acontentwithoutH2title"/>
        <w:numPr>
          <w:ilvl w:val="1"/>
          <w:numId w:val="3"/>
        </w:numPr>
        <w:ind w:left="851" w:hanging="851"/>
      </w:pPr>
      <w:r w:rsidRPr="007C7C90">
        <w:lastRenderedPageBreak/>
        <w:t>Non-UK Nationals</w:t>
      </w:r>
    </w:p>
    <w:p w14:paraId="1EA0CB84" w14:textId="4C0C9223" w:rsidR="007C7C90" w:rsidRPr="007C7C90" w:rsidRDefault="007C7C90" w:rsidP="007C7C90">
      <w:pPr>
        <w:pStyle w:val="Heading2acontentwithoutH2title"/>
        <w:numPr>
          <w:ilvl w:val="0"/>
          <w:numId w:val="0"/>
        </w:numPr>
        <w:ind w:left="851"/>
      </w:pPr>
      <w:r w:rsidRPr="007C7C90">
        <w:t>The same procedures would apply for customers who are Non-UK Residents and wish to solicit services on a remote basis however; the identity documentation in this case may be certified only by the following:</w:t>
      </w:r>
    </w:p>
    <w:p w14:paraId="19AC5C60" w14:textId="77777777" w:rsidR="007C7C90" w:rsidRPr="007C7C90" w:rsidRDefault="007C7C90" w:rsidP="004D6A7B">
      <w:pPr>
        <w:pStyle w:val="Heading2acontentwithoutH2title"/>
        <w:numPr>
          <w:ilvl w:val="0"/>
          <w:numId w:val="6"/>
        </w:numPr>
      </w:pPr>
      <w:r w:rsidRPr="007C7C90">
        <w:t>An embassy, consulate or high commission of the country of issue; or</w:t>
      </w:r>
    </w:p>
    <w:p w14:paraId="04609C0E" w14:textId="77777777" w:rsidR="007C7C90" w:rsidRPr="007C7C90" w:rsidRDefault="007C7C90" w:rsidP="004D6A7B">
      <w:pPr>
        <w:pStyle w:val="Heading2acontentwithoutH2title"/>
        <w:numPr>
          <w:ilvl w:val="0"/>
          <w:numId w:val="6"/>
        </w:numPr>
      </w:pPr>
      <w:r w:rsidRPr="007C7C90">
        <w:t>lawyer or attorney; or</w:t>
      </w:r>
    </w:p>
    <w:p w14:paraId="49553809" w14:textId="26EEE9B1" w:rsidR="007C7C90" w:rsidRPr="007C7C90" w:rsidRDefault="007C7C90" w:rsidP="004D6A7B">
      <w:pPr>
        <w:pStyle w:val="Heading2acontentwithoutH2title"/>
        <w:numPr>
          <w:ilvl w:val="0"/>
          <w:numId w:val="6"/>
        </w:numPr>
      </w:pPr>
      <w:r w:rsidRPr="007C7C90">
        <w:t>for international students, only by staff in the registry of a UK higher education institution.</w:t>
      </w:r>
    </w:p>
    <w:p w14:paraId="0824DFAB" w14:textId="32205DFA" w:rsidR="007C7C90" w:rsidRDefault="007C7C90" w:rsidP="007C7C90">
      <w:pPr>
        <w:pStyle w:val="Heading2acontentwithoutH2title"/>
        <w:numPr>
          <w:ilvl w:val="0"/>
          <w:numId w:val="0"/>
        </w:numPr>
        <w:ind w:left="851"/>
      </w:pPr>
      <w:r w:rsidRPr="007C7C90">
        <w:t>The regulations require, where business is being conducted on a non-face-to-face basis, additional checks to guard against identity fraud should be conducted</w:t>
      </w:r>
      <w:r>
        <w:t>.</w:t>
      </w:r>
    </w:p>
    <w:p w14:paraId="1EC21431" w14:textId="77777777" w:rsidR="007C7C90" w:rsidRPr="007C7C90" w:rsidRDefault="007C7C90" w:rsidP="007C7C90">
      <w:pPr>
        <w:pStyle w:val="Heading2acontentwithoutH2title"/>
        <w:numPr>
          <w:ilvl w:val="0"/>
          <w:numId w:val="0"/>
        </w:numPr>
        <w:ind w:left="851"/>
      </w:pPr>
    </w:p>
    <w:p w14:paraId="3E9E5F3C" w14:textId="77777777" w:rsidR="007C7C90" w:rsidRPr="007C7C90" w:rsidRDefault="007C7C90" w:rsidP="004D6A7B">
      <w:pPr>
        <w:pStyle w:val="Heading2acontentwithoutH2title"/>
        <w:numPr>
          <w:ilvl w:val="0"/>
          <w:numId w:val="6"/>
        </w:numPr>
      </w:pPr>
      <w:r w:rsidRPr="007C7C90">
        <w:t xml:space="preserve">Source of Funds: </w:t>
      </w:r>
    </w:p>
    <w:p w14:paraId="2715556A" w14:textId="168D6383" w:rsidR="007C7C90" w:rsidRDefault="007C7C90" w:rsidP="007C7C90">
      <w:pPr>
        <w:pStyle w:val="Heading2acontentwithoutH2title"/>
        <w:numPr>
          <w:ilvl w:val="0"/>
          <w:numId w:val="0"/>
        </w:numPr>
        <w:ind w:left="851"/>
      </w:pPr>
      <w:r w:rsidRPr="007C7C90">
        <w:t xml:space="preserve">Evidence of the source of funds should be obtained and the information recorded. Consideration should be given to the jurisdiction from which the funds are originating. If the jurisdiction does not have a comparable anti-money laundering / counter terrorist financing framework to that of the UK, extreme care should be taken. </w:t>
      </w:r>
    </w:p>
    <w:p w14:paraId="492F458C" w14:textId="77777777" w:rsidR="007C7C90" w:rsidRPr="007C7C90" w:rsidRDefault="007C7C90" w:rsidP="007C7C90">
      <w:pPr>
        <w:pStyle w:val="Heading2acontentwithoutH2title"/>
        <w:numPr>
          <w:ilvl w:val="0"/>
          <w:numId w:val="0"/>
        </w:numPr>
        <w:ind w:left="851"/>
      </w:pPr>
    </w:p>
    <w:p w14:paraId="787A93AE" w14:textId="77777777" w:rsidR="007C7C90" w:rsidRPr="007C7C90" w:rsidRDefault="007C7C90" w:rsidP="004D6A7B">
      <w:pPr>
        <w:pStyle w:val="Heading2acontentwithoutH2title"/>
        <w:numPr>
          <w:ilvl w:val="0"/>
          <w:numId w:val="6"/>
        </w:numPr>
      </w:pPr>
      <w:r w:rsidRPr="007C7C90">
        <w:t>Proof of Name:</w:t>
      </w:r>
    </w:p>
    <w:p w14:paraId="118061B1" w14:textId="77777777" w:rsidR="007C7C90" w:rsidRPr="007C7C90" w:rsidRDefault="007C7C90" w:rsidP="007C7C90">
      <w:pPr>
        <w:pStyle w:val="Heading2acontentwithoutH2title"/>
        <w:numPr>
          <w:ilvl w:val="0"/>
          <w:numId w:val="0"/>
        </w:numPr>
        <w:ind w:left="851"/>
      </w:pPr>
      <w:r w:rsidRPr="007C7C90">
        <w:t>Evidence of name should be taken through sight of a document from the relevant list and recorded (see Due Diligence requirements section 7.1.2 and following sections.</w:t>
      </w:r>
    </w:p>
    <w:p w14:paraId="2E694C0E" w14:textId="358BE51A" w:rsidR="007C7C90" w:rsidRDefault="007C7C90" w:rsidP="007C7C90">
      <w:pPr>
        <w:pStyle w:val="Heading2acontentwithoutH2title"/>
        <w:numPr>
          <w:ilvl w:val="0"/>
          <w:numId w:val="0"/>
        </w:numPr>
        <w:ind w:left="851"/>
      </w:pPr>
      <w:r w:rsidRPr="007C7C90">
        <w:t>Wherever possible, evidence of the document used should be copied and retained on the file.</w:t>
      </w:r>
    </w:p>
    <w:p w14:paraId="52E0D6BC" w14:textId="77777777" w:rsidR="007C7C90" w:rsidRPr="007C7C90" w:rsidRDefault="007C7C90" w:rsidP="007C7C90">
      <w:pPr>
        <w:pStyle w:val="Heading2acontentwithoutH2title"/>
        <w:numPr>
          <w:ilvl w:val="0"/>
          <w:numId w:val="0"/>
        </w:numPr>
        <w:ind w:left="851"/>
      </w:pPr>
    </w:p>
    <w:p w14:paraId="189776A7" w14:textId="77777777" w:rsidR="007C7C90" w:rsidRPr="007C7C90" w:rsidRDefault="007C7C90" w:rsidP="004D6A7B">
      <w:pPr>
        <w:pStyle w:val="Heading2acontentwithoutH2title"/>
        <w:numPr>
          <w:ilvl w:val="0"/>
          <w:numId w:val="6"/>
        </w:numPr>
      </w:pPr>
      <w:r w:rsidRPr="007C7C90">
        <w:t>Proof of Address:</w:t>
      </w:r>
    </w:p>
    <w:p w14:paraId="0DA13B38" w14:textId="164EDAC8" w:rsidR="007C7C90" w:rsidRDefault="007C7C90" w:rsidP="007C7C90">
      <w:pPr>
        <w:pStyle w:val="Heading2acontentwithoutH2title"/>
        <w:numPr>
          <w:ilvl w:val="0"/>
          <w:numId w:val="0"/>
        </w:numPr>
        <w:ind w:left="851"/>
      </w:pPr>
      <w:r w:rsidRPr="007C7C90">
        <w:t xml:space="preserve">Evidence of address should be taken through sight of a separate document to that used to evidence the client’s name. </w:t>
      </w:r>
    </w:p>
    <w:p w14:paraId="6A2BF37C" w14:textId="77777777" w:rsidR="007C7C90" w:rsidRPr="007C7C90" w:rsidRDefault="007C7C90" w:rsidP="007C7C90">
      <w:pPr>
        <w:pStyle w:val="Heading2acontentwithoutH2title"/>
        <w:numPr>
          <w:ilvl w:val="0"/>
          <w:numId w:val="0"/>
        </w:numPr>
        <w:ind w:left="851"/>
      </w:pPr>
    </w:p>
    <w:p w14:paraId="7D6998A6" w14:textId="77777777" w:rsidR="007C7C90" w:rsidRPr="007C7C90" w:rsidRDefault="007C7C90" w:rsidP="004D6A7B">
      <w:pPr>
        <w:pStyle w:val="Heading2acontentwithoutH2title"/>
        <w:numPr>
          <w:ilvl w:val="0"/>
          <w:numId w:val="6"/>
        </w:numPr>
      </w:pPr>
      <w:r w:rsidRPr="007C7C90">
        <w:t>Know Your Customer:</w:t>
      </w:r>
    </w:p>
    <w:p w14:paraId="6C5CE3BB" w14:textId="4D6AF58E" w:rsidR="007C7C90" w:rsidRPr="007C7C90" w:rsidRDefault="007C7C90" w:rsidP="007C7C90">
      <w:pPr>
        <w:pStyle w:val="Heading2acontentwithoutH2title"/>
        <w:numPr>
          <w:ilvl w:val="0"/>
          <w:numId w:val="0"/>
        </w:numPr>
        <w:ind w:left="851"/>
      </w:pPr>
      <w:r w:rsidRPr="007C7C90">
        <w:t>The following know your customer information should be obtained and recorded:</w:t>
      </w:r>
    </w:p>
    <w:p w14:paraId="42997DF6" w14:textId="77777777" w:rsidR="007C7C90" w:rsidRPr="007C7C90" w:rsidRDefault="007C7C90" w:rsidP="004D6A7B">
      <w:pPr>
        <w:pStyle w:val="Heading2acontentwithoutH2title"/>
        <w:numPr>
          <w:ilvl w:val="0"/>
          <w:numId w:val="6"/>
        </w:numPr>
      </w:pPr>
      <w:r w:rsidRPr="007C7C90">
        <w:t>Employment and income details</w:t>
      </w:r>
    </w:p>
    <w:p w14:paraId="4A3B6A5A" w14:textId="0653EAFF" w:rsidR="007C7C90" w:rsidRPr="007C7C90" w:rsidRDefault="007C7C90" w:rsidP="004D6A7B">
      <w:pPr>
        <w:pStyle w:val="Heading2acontentwithoutH2title"/>
        <w:numPr>
          <w:ilvl w:val="0"/>
          <w:numId w:val="6"/>
        </w:numPr>
      </w:pPr>
      <w:r w:rsidRPr="007C7C90">
        <w:t>Source of wealth</w:t>
      </w:r>
    </w:p>
    <w:p w14:paraId="0E5E6EBD" w14:textId="646BC93F" w:rsidR="007C7C90" w:rsidRPr="007C7C90" w:rsidRDefault="007C7C90" w:rsidP="007C7C90">
      <w:pPr>
        <w:pStyle w:val="Heading2acontentwithoutH2title"/>
        <w:numPr>
          <w:ilvl w:val="0"/>
          <w:numId w:val="0"/>
        </w:numPr>
        <w:ind w:left="851"/>
      </w:pPr>
      <w:r w:rsidRPr="007C7C90">
        <w:lastRenderedPageBreak/>
        <w:t>The source of wealth is the source from which the client accumulated the funds being used in the transaction e.g. lottery win, inheritance, disposable income, matured investment, etc.  The client’s employment is their job title; their income should include income from all sources.</w:t>
      </w:r>
    </w:p>
    <w:p w14:paraId="57CB111D" w14:textId="77777777" w:rsidR="007C7C90" w:rsidRPr="007C7C90" w:rsidRDefault="007C7C90" w:rsidP="007C7C90">
      <w:pPr>
        <w:pStyle w:val="Heading2acontentwithoutH2title"/>
        <w:numPr>
          <w:ilvl w:val="0"/>
          <w:numId w:val="0"/>
        </w:numPr>
        <w:ind w:left="851"/>
      </w:pPr>
      <w:r w:rsidRPr="007C7C90">
        <w:t xml:space="preserve">Home Office confirmation should be sought verifying that the client has permission to be in the UK.  A copy of a work permit would be sufficient for this purpose.  </w:t>
      </w:r>
    </w:p>
    <w:p w14:paraId="5D58580A" w14:textId="77777777" w:rsidR="007C7C90" w:rsidRPr="007C7C90" w:rsidRDefault="007C7C90" w:rsidP="007C7C90">
      <w:pPr>
        <w:pStyle w:val="Heading2acontentwithoutH2title"/>
        <w:numPr>
          <w:ilvl w:val="1"/>
          <w:numId w:val="3"/>
        </w:numPr>
        <w:ind w:left="851" w:hanging="851"/>
      </w:pPr>
      <w:r w:rsidRPr="007C7C90">
        <w:t>Recently arrived Non-UK Nationals</w:t>
      </w:r>
    </w:p>
    <w:p w14:paraId="7E1A789B" w14:textId="77777777" w:rsidR="007C7C90" w:rsidRPr="007C7C90" w:rsidRDefault="007C7C90" w:rsidP="007C7C90">
      <w:pPr>
        <w:pStyle w:val="Heading2acontentwithoutH2title"/>
        <w:numPr>
          <w:ilvl w:val="0"/>
          <w:numId w:val="0"/>
        </w:numPr>
        <w:ind w:left="851"/>
      </w:pPr>
      <w:r w:rsidRPr="007C7C90">
        <w:t>If the client is a non-UK national and has arrived in the UK in the last three months an additional check must be carried out by contacting their employer (or place of education) to corroborate their identification and permanent residential address. This may be done either by telephone or in writing (written evidence is preferred). The firm is likely to require the client’s authority before an employer or educational institution will release such information.</w:t>
      </w:r>
    </w:p>
    <w:p w14:paraId="60FB317A" w14:textId="60DBC168" w:rsidR="007C7C90" w:rsidRPr="007C7C90" w:rsidRDefault="007C7C90" w:rsidP="007C7C90">
      <w:pPr>
        <w:pStyle w:val="Heading2acontentwithoutH2title"/>
        <w:numPr>
          <w:ilvl w:val="1"/>
          <w:numId w:val="3"/>
        </w:numPr>
        <w:ind w:left="851" w:hanging="851"/>
      </w:pPr>
      <w:r w:rsidRPr="007C7C90">
        <w:t>Record Keeping</w:t>
      </w:r>
    </w:p>
    <w:p w14:paraId="3C8AC412" w14:textId="2A67587F" w:rsidR="007C7C90" w:rsidRPr="007C7C90" w:rsidRDefault="007C7C90" w:rsidP="007C7C90">
      <w:pPr>
        <w:pStyle w:val="Heading2acontentwithoutH2title"/>
        <w:numPr>
          <w:ilvl w:val="0"/>
          <w:numId w:val="0"/>
        </w:numPr>
        <w:ind w:left="851"/>
      </w:pPr>
      <w:r w:rsidRPr="007C7C90">
        <w:t>It is recommended that you take copies of the documents used for verification whenever possible (e.g. when seeing a client in your office or where copying facilities are available).</w:t>
      </w:r>
    </w:p>
    <w:p w14:paraId="72AA8384" w14:textId="59BACD16" w:rsidR="007C7C90" w:rsidRPr="007C7C90" w:rsidRDefault="007C7C90" w:rsidP="007C7C90">
      <w:pPr>
        <w:pStyle w:val="Heading2acontentwithoutH2title"/>
        <w:numPr>
          <w:ilvl w:val="0"/>
          <w:numId w:val="0"/>
        </w:numPr>
        <w:ind w:left="851"/>
      </w:pPr>
      <w:r w:rsidRPr="007C7C90">
        <w:t xml:space="preserve">Whenever you take copies of identification evidence these must be dated and signed “original seen”. </w:t>
      </w:r>
    </w:p>
    <w:p w14:paraId="79A565E6" w14:textId="6E5AB3BC" w:rsidR="007C7C90" w:rsidRPr="007C7C90" w:rsidRDefault="007C7C90" w:rsidP="007C7C90">
      <w:pPr>
        <w:pStyle w:val="Heading2acontentwithoutH2title"/>
        <w:numPr>
          <w:ilvl w:val="0"/>
          <w:numId w:val="0"/>
        </w:numPr>
        <w:ind w:left="851"/>
      </w:pPr>
      <w:r w:rsidRPr="007C7C90">
        <w:t xml:space="preserve">Where a copy of evidence taken includes a photograph you must also certify that the photograph provides a good likeness of the client by writing on the photocopy “the photograph is a good likeness of the applicant”. </w:t>
      </w:r>
    </w:p>
    <w:p w14:paraId="59431AE5" w14:textId="77777777" w:rsidR="007C7C90" w:rsidRPr="007C7C90" w:rsidRDefault="007C7C90" w:rsidP="007C7C90">
      <w:pPr>
        <w:pStyle w:val="Heading2acontentwithoutH2title"/>
        <w:numPr>
          <w:ilvl w:val="0"/>
          <w:numId w:val="0"/>
        </w:numPr>
        <w:ind w:left="851"/>
      </w:pPr>
      <w:r w:rsidRPr="007C7C90">
        <w:t>Where a new residential address cannot be proved, because the address is only temporary or because verification evidence is not yet available, then the previous address should be verified. The current address should be verified as soon as practically possible afterwards.  Notes should be held on file to clarify the situation.</w:t>
      </w:r>
    </w:p>
    <w:p w14:paraId="5225161F" w14:textId="6D9A6CCE" w:rsidR="007C7C90" w:rsidRDefault="007C7C90" w:rsidP="007C7C90">
      <w:pPr>
        <w:pStyle w:val="Heading1"/>
        <w:keepNext w:val="0"/>
        <w:numPr>
          <w:ilvl w:val="0"/>
          <w:numId w:val="3"/>
        </w:numPr>
        <w:ind w:left="851" w:hanging="851"/>
        <w:rPr>
          <w:rFonts w:cs="Arial"/>
          <w:szCs w:val="22"/>
        </w:rPr>
      </w:pPr>
      <w:bookmarkStart w:id="23" w:name="_Toc80788304"/>
      <w:r w:rsidRPr="007C7C90">
        <w:rPr>
          <w:rFonts w:cs="Arial"/>
          <w:szCs w:val="22"/>
        </w:rPr>
        <w:t>Corporate Customers</w:t>
      </w:r>
      <w:bookmarkEnd w:id="23"/>
      <w:r w:rsidRPr="007C7C90">
        <w:rPr>
          <w:rFonts w:cs="Arial"/>
          <w:szCs w:val="22"/>
        </w:rPr>
        <w:t xml:space="preserve"> </w:t>
      </w:r>
    </w:p>
    <w:p w14:paraId="11B67077" w14:textId="0729300D" w:rsidR="007C7C90" w:rsidRPr="007C7C90" w:rsidRDefault="007C7C90" w:rsidP="007C7C90">
      <w:pPr>
        <w:pStyle w:val="Heading2acontentwithoutH2title"/>
        <w:numPr>
          <w:ilvl w:val="1"/>
          <w:numId w:val="3"/>
        </w:numPr>
        <w:ind w:left="851" w:hanging="851"/>
      </w:pPr>
      <w:r w:rsidRPr="007C7C90">
        <w:t>Unlisted PLCs and Limited Liability Partnerships (LLPs)</w:t>
      </w:r>
    </w:p>
    <w:p w14:paraId="3150C104" w14:textId="63A7035F" w:rsidR="007C7C90" w:rsidRPr="007C7C90" w:rsidRDefault="007C7C90" w:rsidP="007C7C90">
      <w:pPr>
        <w:pStyle w:val="Heading2acontentwithoutH2title"/>
        <w:numPr>
          <w:ilvl w:val="0"/>
          <w:numId w:val="0"/>
        </w:numPr>
        <w:ind w:left="851"/>
      </w:pPr>
      <w:r w:rsidRPr="007C7C90">
        <w:t>For these types of companies, a firm should obtain the following information as standard:</w:t>
      </w:r>
    </w:p>
    <w:p w14:paraId="02098AAD" w14:textId="77777777" w:rsidR="007C7C90" w:rsidRPr="007C7C90" w:rsidRDefault="007C7C90" w:rsidP="004D6A7B">
      <w:pPr>
        <w:pStyle w:val="Heading2acontentwithoutH2title"/>
        <w:numPr>
          <w:ilvl w:val="0"/>
          <w:numId w:val="6"/>
        </w:numPr>
      </w:pPr>
      <w:r w:rsidRPr="007C7C90">
        <w:t>Full name</w:t>
      </w:r>
    </w:p>
    <w:p w14:paraId="4319C89E" w14:textId="77777777" w:rsidR="007C7C90" w:rsidRPr="007C7C90" w:rsidRDefault="007C7C90" w:rsidP="004D6A7B">
      <w:pPr>
        <w:pStyle w:val="Heading2acontentwithoutH2title"/>
        <w:numPr>
          <w:ilvl w:val="0"/>
          <w:numId w:val="6"/>
        </w:numPr>
      </w:pPr>
      <w:r w:rsidRPr="007C7C90">
        <w:t>Registered number</w:t>
      </w:r>
    </w:p>
    <w:p w14:paraId="4F3230F6" w14:textId="77777777" w:rsidR="007C7C90" w:rsidRPr="007C7C90" w:rsidRDefault="007C7C90" w:rsidP="004D6A7B">
      <w:pPr>
        <w:pStyle w:val="Heading2acontentwithoutH2title"/>
        <w:numPr>
          <w:ilvl w:val="0"/>
          <w:numId w:val="6"/>
        </w:numPr>
      </w:pPr>
      <w:r w:rsidRPr="007C7C90">
        <w:t>Registered office in country of incorporation</w:t>
      </w:r>
    </w:p>
    <w:p w14:paraId="538D3CDC" w14:textId="77777777" w:rsidR="007C7C90" w:rsidRPr="007C7C90" w:rsidRDefault="007C7C90" w:rsidP="004D6A7B">
      <w:pPr>
        <w:pStyle w:val="Heading2acontentwithoutH2title"/>
        <w:numPr>
          <w:ilvl w:val="0"/>
          <w:numId w:val="6"/>
        </w:numPr>
      </w:pPr>
      <w:r w:rsidRPr="007C7C90">
        <w:t>Business address</w:t>
      </w:r>
    </w:p>
    <w:p w14:paraId="6C64A88C" w14:textId="77777777" w:rsidR="007C7C90" w:rsidRPr="007C7C90" w:rsidRDefault="007C7C90" w:rsidP="004D6A7B">
      <w:pPr>
        <w:pStyle w:val="Heading2acontentwithoutH2title"/>
        <w:numPr>
          <w:ilvl w:val="0"/>
          <w:numId w:val="6"/>
        </w:numPr>
      </w:pPr>
      <w:r w:rsidRPr="007C7C90">
        <w:t>Names of all directors (or equivalent)</w:t>
      </w:r>
    </w:p>
    <w:p w14:paraId="6CA300E3" w14:textId="77777777" w:rsidR="007C7C90" w:rsidRPr="007C7C90" w:rsidRDefault="007C7C90" w:rsidP="004D6A7B">
      <w:pPr>
        <w:pStyle w:val="Heading2acontentwithoutH2title"/>
        <w:numPr>
          <w:ilvl w:val="0"/>
          <w:numId w:val="6"/>
        </w:numPr>
      </w:pPr>
      <w:r w:rsidRPr="007C7C90">
        <w:t>Names of beneficial owners who own or control over 25% of its shares or voting rights</w:t>
      </w:r>
    </w:p>
    <w:p w14:paraId="4465F262" w14:textId="77777777" w:rsidR="007C7C90" w:rsidRPr="007C7C90" w:rsidRDefault="007C7C90" w:rsidP="004D6A7B">
      <w:pPr>
        <w:pStyle w:val="Heading2acontentwithoutH2title"/>
        <w:numPr>
          <w:ilvl w:val="0"/>
          <w:numId w:val="6"/>
        </w:numPr>
      </w:pPr>
      <w:r w:rsidRPr="007C7C90">
        <w:lastRenderedPageBreak/>
        <w:t>Confirmation that the individual the firm is dealing with has authority to act on behalf of the company (customer)</w:t>
      </w:r>
    </w:p>
    <w:p w14:paraId="12DB68B0" w14:textId="4679125C" w:rsidR="007C7C90" w:rsidRPr="007C7C90" w:rsidRDefault="007C7C90" w:rsidP="004D6A7B">
      <w:pPr>
        <w:pStyle w:val="Heading2acontentwithoutH2title"/>
        <w:numPr>
          <w:ilvl w:val="0"/>
          <w:numId w:val="6"/>
        </w:numPr>
      </w:pPr>
      <w:r w:rsidRPr="007C7C90">
        <w:t>Existence of the corporate body has to be verified (this can be done by obtaining a copy of the company’s Certificate of Incorporation of equivalent)</w:t>
      </w:r>
    </w:p>
    <w:p w14:paraId="285DF579" w14:textId="06447DDB" w:rsidR="007C7C90" w:rsidRPr="007C7C90" w:rsidRDefault="007C7C90" w:rsidP="007C7C90">
      <w:pPr>
        <w:pStyle w:val="Heading2acontentwithoutH2title"/>
        <w:numPr>
          <w:ilvl w:val="0"/>
          <w:numId w:val="0"/>
        </w:numPr>
        <w:ind w:left="851"/>
      </w:pPr>
      <w:r w:rsidRPr="007C7C90">
        <w:t>The firm must ascertain whether the individual acting on behalf of the company is authorised to do so; this can be done in the following ways:</w:t>
      </w:r>
    </w:p>
    <w:p w14:paraId="379EED83" w14:textId="77777777" w:rsidR="007C7C90" w:rsidRPr="007C7C90" w:rsidRDefault="007C7C90" w:rsidP="004D6A7B">
      <w:pPr>
        <w:pStyle w:val="Heading2acontentwithoutH2title"/>
        <w:numPr>
          <w:ilvl w:val="0"/>
          <w:numId w:val="6"/>
        </w:numPr>
      </w:pPr>
      <w:r w:rsidRPr="007C7C90">
        <w:t>Obtaining a copy of the board resolution giving the individual authority to act;</w:t>
      </w:r>
    </w:p>
    <w:p w14:paraId="670A8A29" w14:textId="77777777" w:rsidR="007C7C90" w:rsidRPr="007C7C90" w:rsidRDefault="007C7C90" w:rsidP="004D6A7B">
      <w:pPr>
        <w:pStyle w:val="Heading2acontentwithoutH2title"/>
        <w:numPr>
          <w:ilvl w:val="0"/>
          <w:numId w:val="6"/>
        </w:numPr>
      </w:pPr>
      <w:r w:rsidRPr="007C7C90">
        <w:t>Obtaining confirmation from the legal department of the firm that the individual is authorised to act</w:t>
      </w:r>
    </w:p>
    <w:p w14:paraId="1A63435A" w14:textId="77777777" w:rsidR="007C7C90" w:rsidRPr="007C7C90" w:rsidRDefault="007C7C90" w:rsidP="004D6A7B">
      <w:pPr>
        <w:pStyle w:val="Heading2acontentwithoutH2title"/>
        <w:numPr>
          <w:ilvl w:val="0"/>
          <w:numId w:val="6"/>
        </w:numPr>
      </w:pPr>
      <w:r w:rsidRPr="007C7C90">
        <w:t>Calling the company from an independently verified number (e.g. form a phone book) and check the individual’s credentials with a third party at the firm. The client may need to be informed that the check is a part of procedures</w:t>
      </w:r>
    </w:p>
    <w:p w14:paraId="582B25F8" w14:textId="327CBF19" w:rsidR="007C7C90" w:rsidRPr="007C7C90" w:rsidRDefault="007C7C90" w:rsidP="004D6A7B">
      <w:pPr>
        <w:pStyle w:val="Heading2acontentwithoutH2title"/>
        <w:numPr>
          <w:ilvl w:val="0"/>
          <w:numId w:val="6"/>
        </w:numPr>
      </w:pPr>
      <w:r w:rsidRPr="007C7C90">
        <w:t>In the case where a director of a firm has written in respect of a transaction on company letter headed paper, then that in itself should satisfy the requirement.</w:t>
      </w:r>
    </w:p>
    <w:p w14:paraId="19353888" w14:textId="4AAAC629" w:rsidR="007C7C90" w:rsidRPr="007C7C90" w:rsidRDefault="007C7C90" w:rsidP="007C7C90">
      <w:pPr>
        <w:pStyle w:val="Heading2acontentwithoutH2title"/>
        <w:numPr>
          <w:ilvl w:val="0"/>
          <w:numId w:val="0"/>
        </w:numPr>
        <w:ind w:left="851"/>
      </w:pPr>
      <w:r w:rsidRPr="007C7C90">
        <w:t>In the case of higher risk transactions, i.e. when dealing with ‘increased risk products’ then the following should be verified also on a risk based approach:</w:t>
      </w:r>
    </w:p>
    <w:p w14:paraId="29C67BB8" w14:textId="77777777" w:rsidR="007C7C90" w:rsidRPr="007C7C90" w:rsidRDefault="007C7C90" w:rsidP="004D6A7B">
      <w:pPr>
        <w:pStyle w:val="Heading2acontentwithoutH2title"/>
        <w:numPr>
          <w:ilvl w:val="0"/>
          <w:numId w:val="6"/>
        </w:numPr>
      </w:pPr>
      <w:r w:rsidRPr="007C7C90">
        <w:t xml:space="preserve">Whether there are any entities with a direct or indirect a beneficial interest of 25% or more e.g. a subsidiary </w:t>
      </w:r>
    </w:p>
    <w:p w14:paraId="1216CAAC" w14:textId="64E41D85" w:rsidR="007C7C90" w:rsidRPr="007C7C90" w:rsidRDefault="007C7C90" w:rsidP="004D6A7B">
      <w:pPr>
        <w:pStyle w:val="Heading2acontentwithoutH2title"/>
        <w:numPr>
          <w:ilvl w:val="0"/>
          <w:numId w:val="6"/>
        </w:numPr>
      </w:pPr>
      <w:r w:rsidRPr="007C7C90">
        <w:t>Any entity authorised to give instructions to move assets or funds (e.g. signatories)</w:t>
      </w:r>
    </w:p>
    <w:p w14:paraId="6EC8B444" w14:textId="1E4D5AF9" w:rsidR="007C7C90" w:rsidRPr="007C7C90" w:rsidRDefault="007C7C90" w:rsidP="007C7C90">
      <w:pPr>
        <w:pStyle w:val="Heading2acontentwithoutH2title"/>
        <w:numPr>
          <w:ilvl w:val="0"/>
          <w:numId w:val="0"/>
        </w:numPr>
        <w:ind w:left="851"/>
      </w:pPr>
      <w:r w:rsidRPr="007C7C90">
        <w:t>Such verification could be achieved by the firm obtaining a letter of confirmation from the company secretary of the parent company or through obtaining a copy of the annual reports from the parent company which make reference to the subsidiary.</w:t>
      </w:r>
    </w:p>
    <w:p w14:paraId="5421E8E6" w14:textId="18A7CC44" w:rsidR="007C7C90" w:rsidRPr="007C7C90" w:rsidRDefault="007C7C90" w:rsidP="007C7C90">
      <w:pPr>
        <w:pStyle w:val="Heading2acontentwithoutH2title"/>
        <w:numPr>
          <w:ilvl w:val="0"/>
          <w:numId w:val="0"/>
        </w:numPr>
        <w:ind w:left="851"/>
      </w:pPr>
      <w:r w:rsidRPr="007C7C90">
        <w:t>You should retain awareness of changes to beneficial ownership that might occur over time. If you were to carry out further transactions for the same company, you would be expected to identify any such changes and ensure that new shareholders or beneficial owners are verified where necessary.</w:t>
      </w:r>
    </w:p>
    <w:p w14:paraId="33F098B8" w14:textId="77777777" w:rsidR="007C7C90" w:rsidRPr="007C7C90" w:rsidRDefault="007C7C90" w:rsidP="007C7C90">
      <w:pPr>
        <w:pStyle w:val="Heading2acontentwithoutH2title"/>
        <w:numPr>
          <w:ilvl w:val="0"/>
          <w:numId w:val="0"/>
        </w:numPr>
        <w:ind w:left="851"/>
      </w:pPr>
      <w:r w:rsidRPr="007C7C90">
        <w:t xml:space="preserve">Where the individual with whom you are dealing does not appear on the list of directors which you obtain, you should verify that the individual with whom you are dealing is authorised to act.  </w:t>
      </w:r>
    </w:p>
    <w:p w14:paraId="644CBEB9" w14:textId="66107AC9" w:rsidR="00467E8E" w:rsidRDefault="007C7C90" w:rsidP="007C7C90">
      <w:pPr>
        <w:pStyle w:val="Heading2acontentwithoutH2title"/>
        <w:numPr>
          <w:ilvl w:val="1"/>
          <w:numId w:val="3"/>
        </w:numPr>
        <w:ind w:left="851" w:hanging="851"/>
      </w:pPr>
      <w:r w:rsidRPr="007C7C90">
        <w:t>Sole Traders and Partnerships</w:t>
      </w:r>
    </w:p>
    <w:p w14:paraId="1DA75DA9" w14:textId="315A5818" w:rsidR="004D6A7B" w:rsidRPr="004D6A7B" w:rsidRDefault="004D6A7B" w:rsidP="004D6A7B">
      <w:pPr>
        <w:pStyle w:val="Heading2acontentwithoutH2title"/>
        <w:numPr>
          <w:ilvl w:val="0"/>
          <w:numId w:val="0"/>
        </w:numPr>
        <w:ind w:left="851"/>
      </w:pPr>
      <w:r w:rsidRPr="004D6A7B">
        <w:t>When the customer is an unincorporated business such as a sole trader or a partnership, the following verification of identity checks should be carried out:</w:t>
      </w:r>
    </w:p>
    <w:p w14:paraId="38C0E05B" w14:textId="77777777" w:rsidR="004D6A7B" w:rsidRPr="004D6A7B" w:rsidRDefault="004D6A7B" w:rsidP="004D6A7B">
      <w:pPr>
        <w:pStyle w:val="Heading2acontentwithoutH2title"/>
        <w:numPr>
          <w:ilvl w:val="0"/>
          <w:numId w:val="6"/>
        </w:numPr>
      </w:pPr>
      <w:r w:rsidRPr="004D6A7B">
        <w:t>Each partner/beneficial owner must be verified (as a private individual);</w:t>
      </w:r>
    </w:p>
    <w:p w14:paraId="5A6BD33B" w14:textId="77777777" w:rsidR="004D6A7B" w:rsidRPr="004D6A7B" w:rsidRDefault="004D6A7B" w:rsidP="004D6A7B">
      <w:pPr>
        <w:pStyle w:val="Heading2acontentwithoutH2title"/>
        <w:numPr>
          <w:ilvl w:val="0"/>
          <w:numId w:val="6"/>
        </w:numPr>
      </w:pPr>
      <w:r w:rsidRPr="004D6A7B">
        <w:t>Any individual not in the above group who has the ability to control the product (e.g. signatories) must be verified (as a private individual);</w:t>
      </w:r>
    </w:p>
    <w:p w14:paraId="32B96F91" w14:textId="70DC601C" w:rsidR="004D6A7B" w:rsidRPr="004D6A7B" w:rsidRDefault="004D6A7B" w:rsidP="004D6A7B">
      <w:pPr>
        <w:pStyle w:val="Heading2acontentwithoutH2title"/>
        <w:numPr>
          <w:ilvl w:val="0"/>
          <w:numId w:val="6"/>
        </w:numPr>
      </w:pPr>
      <w:r w:rsidRPr="004D6A7B">
        <w:lastRenderedPageBreak/>
        <w:t>Obtain evidence of the trading address through sight of an original bank statement or utility bill, less than 3 months old, in the name of the unincorporated business.</w:t>
      </w:r>
    </w:p>
    <w:p w14:paraId="7A5C0817" w14:textId="03B7A7A0" w:rsidR="00467E8E" w:rsidRDefault="004D6A7B" w:rsidP="00AF3640">
      <w:pPr>
        <w:pStyle w:val="Heading2acontentwithoutH2title"/>
        <w:numPr>
          <w:ilvl w:val="0"/>
          <w:numId w:val="0"/>
        </w:numPr>
        <w:ind w:left="851"/>
      </w:pPr>
      <w:r w:rsidRPr="004D6A7B">
        <w:t>You should also satisfy yourself as to the purpose of the partnership/business and the activities they undertake. Where a formal partnership arrangement is in place, sight of this should be obtained.</w:t>
      </w:r>
    </w:p>
    <w:p w14:paraId="5B369289" w14:textId="77777777" w:rsidR="00F1417D" w:rsidRDefault="00F1417D" w:rsidP="00F1417D">
      <w:pPr>
        <w:pStyle w:val="Heading1"/>
        <w:keepNext w:val="0"/>
        <w:numPr>
          <w:ilvl w:val="0"/>
          <w:numId w:val="3"/>
        </w:numPr>
        <w:ind w:left="851" w:hanging="851"/>
      </w:pPr>
      <w:bookmarkStart w:id="24" w:name="_Toc476232369"/>
      <w:bookmarkStart w:id="25" w:name="_Toc476147992"/>
      <w:bookmarkStart w:id="26" w:name="_Toc80788305"/>
      <w:r>
        <w:t>Further information</w:t>
      </w:r>
      <w:bookmarkEnd w:id="24"/>
      <w:bookmarkEnd w:id="25"/>
      <w:bookmarkEnd w:id="26"/>
    </w:p>
    <w:p w14:paraId="57A07C9E" w14:textId="4457A685" w:rsidR="00F1417D" w:rsidRDefault="00F1417D" w:rsidP="00F1417D">
      <w:pPr>
        <w:rPr>
          <w:rStyle w:val="HighlightTextChar"/>
        </w:rPr>
      </w:pPr>
      <w:bookmarkStart w:id="27" w:name="_Toc476147993"/>
      <w:r>
        <w:t xml:space="preserve">Any queries or comments about this policy should be addressed to </w:t>
      </w:r>
      <w:r w:rsidRPr="00F1417D">
        <w:t xml:space="preserve">the </w:t>
      </w:r>
      <w:r w:rsidR="009C6075">
        <w:t>HR Department</w:t>
      </w:r>
      <w:r w:rsidRPr="00F1417D">
        <w:t>.</w:t>
      </w:r>
    </w:p>
    <w:p w14:paraId="42D993FD" w14:textId="77777777" w:rsidR="00F1417D" w:rsidRDefault="00F1417D" w:rsidP="00F1417D">
      <w:pPr>
        <w:pStyle w:val="Heading1"/>
        <w:keepNext w:val="0"/>
        <w:numPr>
          <w:ilvl w:val="0"/>
          <w:numId w:val="3"/>
        </w:numPr>
        <w:ind w:left="851" w:hanging="851"/>
      </w:pPr>
      <w:bookmarkStart w:id="28" w:name="_Toc476232370"/>
      <w:bookmarkStart w:id="29" w:name="_Toc80788306"/>
      <w:r>
        <w:t>Policy owner</w:t>
      </w:r>
      <w:bookmarkEnd w:id="27"/>
      <w:bookmarkEnd w:id="28"/>
      <w:bookmarkEnd w:id="29"/>
    </w:p>
    <w:p w14:paraId="300F1B8A" w14:textId="0E35A3EE" w:rsidR="00F1417D" w:rsidRDefault="00F1417D" w:rsidP="00F1417D">
      <w:r>
        <w:t xml:space="preserve">This policy is owned and maintained by </w:t>
      </w:r>
      <w:r w:rsidR="00AF3640">
        <w:t>the Compliance team</w:t>
      </w:r>
      <w:r w:rsidRPr="00F1417D">
        <w:t>.</w:t>
      </w:r>
      <w:r>
        <w:t xml:space="preserve"> </w:t>
      </w:r>
    </w:p>
    <w:p w14:paraId="4EA053AD" w14:textId="77777777" w:rsidR="00F1417D" w:rsidRDefault="00F1417D" w:rsidP="00F1417D">
      <w:pPr>
        <w:pStyle w:val="Heading1"/>
        <w:keepNext w:val="0"/>
        <w:numPr>
          <w:ilvl w:val="0"/>
          <w:numId w:val="3"/>
        </w:numPr>
        <w:ind w:left="851" w:hanging="851"/>
      </w:pPr>
      <w:bookmarkStart w:id="30" w:name="_Toc476232371"/>
      <w:bookmarkStart w:id="31" w:name="_Toc476147994"/>
      <w:bookmarkStart w:id="32" w:name="_Toc80788307"/>
      <w:r>
        <w:t>Policy review date</w:t>
      </w:r>
      <w:bookmarkEnd w:id="30"/>
      <w:bookmarkEnd w:id="31"/>
      <w:bookmarkEnd w:id="32"/>
    </w:p>
    <w:p w14:paraId="77B6E5D1" w14:textId="49B3DAD4" w:rsidR="00F1417D" w:rsidRDefault="00F1417D" w:rsidP="00F1417D">
      <w:r>
        <w:t>Date last reviewed</w:t>
      </w:r>
      <w:r w:rsidR="00467E8E">
        <w:t xml:space="preserve">: </w:t>
      </w:r>
      <w:r w:rsidR="00641EB7">
        <w:t>01/01/2024</w:t>
      </w:r>
    </w:p>
    <w:p w14:paraId="26498747" w14:textId="1290F7F2" w:rsidR="004D6A7B" w:rsidRPr="004D6A7B" w:rsidRDefault="004D6A7B" w:rsidP="004D6A7B">
      <w:pPr>
        <w:tabs>
          <w:tab w:val="left" w:pos="284"/>
        </w:tabs>
        <w:rPr>
          <w:rFonts w:asciiTheme="minorHAnsi" w:hAnsiTheme="minorHAnsi" w:cstheme="minorHAnsi"/>
          <w:b/>
          <w:color w:val="auto"/>
          <w:sz w:val="22"/>
        </w:rPr>
      </w:pPr>
      <w:r>
        <w:rPr>
          <w:rFonts w:asciiTheme="minorHAnsi" w:hAnsiTheme="minorHAnsi" w:cstheme="minorHAnsi"/>
          <w:b/>
          <w:sz w:val="22"/>
        </w:rPr>
        <w:t>Appendix A</w:t>
      </w:r>
    </w:p>
    <w:p w14:paraId="290DF8F1" w14:textId="27572E7D" w:rsidR="004D6A7B" w:rsidRPr="004D6A7B" w:rsidRDefault="004D6A7B" w:rsidP="004D6A7B">
      <w:pPr>
        <w:rPr>
          <w:rFonts w:asciiTheme="minorHAnsi" w:hAnsiTheme="minorHAnsi" w:cstheme="minorHAnsi"/>
          <w:b/>
          <w:color w:val="FF0000"/>
          <w:sz w:val="22"/>
        </w:rPr>
      </w:pPr>
      <w:r>
        <w:rPr>
          <w:rFonts w:asciiTheme="minorHAnsi" w:hAnsiTheme="minorHAnsi" w:cstheme="minorHAnsi"/>
          <w:b/>
          <w:sz w:val="22"/>
        </w:rPr>
        <w:t>Risk evaluation - Medium</w:t>
      </w:r>
    </w:p>
    <w:p w14:paraId="51C801B8" w14:textId="569F384B" w:rsidR="004D6A7B" w:rsidRPr="004D6A7B" w:rsidRDefault="004D6A7B" w:rsidP="004D6A7B">
      <w:pPr>
        <w:rPr>
          <w:rFonts w:asciiTheme="minorHAnsi" w:hAnsiTheme="minorHAnsi" w:cstheme="minorHAnsi"/>
          <w:sz w:val="22"/>
        </w:rPr>
      </w:pPr>
      <w:r>
        <w:rPr>
          <w:rFonts w:asciiTheme="minorHAnsi" w:hAnsiTheme="minorHAnsi" w:cstheme="minorHAnsi"/>
          <w:b/>
          <w:sz w:val="22"/>
        </w:rPr>
        <w:t>Our Policy</w:t>
      </w:r>
    </w:p>
    <w:p w14:paraId="17986542" w14:textId="353F68A4" w:rsidR="004D6A7B" w:rsidRDefault="004D6A7B" w:rsidP="004D6A7B">
      <w:pPr>
        <w:rPr>
          <w:rFonts w:asciiTheme="minorHAnsi" w:hAnsiTheme="minorHAnsi" w:cstheme="minorHAnsi"/>
          <w:sz w:val="22"/>
        </w:rPr>
      </w:pPr>
      <w:r>
        <w:rPr>
          <w:rFonts w:asciiTheme="minorHAnsi" w:hAnsiTheme="minorHAnsi" w:cstheme="minorHAnsi"/>
          <w:sz w:val="22"/>
        </w:rPr>
        <w:t xml:space="preserve">We have considered the above issues in relation to </w:t>
      </w:r>
      <w:r>
        <w:rPr>
          <w:rFonts w:asciiTheme="minorHAnsi" w:hAnsiTheme="minorHAnsi" w:cstheme="minorHAnsi"/>
          <w:i/>
          <w:sz w:val="22"/>
        </w:rPr>
        <w:t>our</w:t>
      </w:r>
      <w:r>
        <w:rPr>
          <w:rFonts w:asciiTheme="minorHAnsi" w:hAnsiTheme="minorHAnsi" w:cstheme="minorHAnsi"/>
          <w:sz w:val="22"/>
        </w:rPr>
        <w:t xml:space="preserve"> regulated activities and we have assessed the risk of money laundering posed by our business to be low based on the following considerations and mitigation processes:</w:t>
      </w:r>
    </w:p>
    <w:p w14:paraId="4C7142FC" w14:textId="77777777" w:rsidR="004D6A7B" w:rsidRDefault="004D6A7B" w:rsidP="004D6A7B">
      <w:pPr>
        <w:numPr>
          <w:ilvl w:val="0"/>
          <w:numId w:val="7"/>
        </w:numPr>
        <w:spacing w:after="0" w:line="240" w:lineRule="auto"/>
        <w:ind w:left="426" w:hanging="426"/>
        <w:jc w:val="left"/>
        <w:rPr>
          <w:rFonts w:asciiTheme="minorHAnsi" w:hAnsiTheme="minorHAnsi" w:cstheme="minorHAnsi"/>
          <w:sz w:val="22"/>
        </w:rPr>
      </w:pPr>
      <w:r>
        <w:rPr>
          <w:rFonts w:asciiTheme="minorHAnsi" w:hAnsiTheme="minorHAnsi" w:cstheme="minorHAnsi"/>
          <w:sz w:val="22"/>
        </w:rPr>
        <w:t>The firm undertakes the following consumer credit activities – credit broking, debt counselling and debt adjusting.</w:t>
      </w:r>
    </w:p>
    <w:p w14:paraId="302390C2" w14:textId="77777777" w:rsidR="004D6A7B" w:rsidRDefault="004D6A7B" w:rsidP="004D6A7B">
      <w:pPr>
        <w:numPr>
          <w:ilvl w:val="0"/>
          <w:numId w:val="7"/>
        </w:numPr>
        <w:spacing w:after="0" w:line="240" w:lineRule="auto"/>
        <w:ind w:left="426" w:hanging="426"/>
        <w:jc w:val="left"/>
        <w:rPr>
          <w:rFonts w:asciiTheme="minorHAnsi" w:hAnsiTheme="minorHAnsi" w:cstheme="minorHAnsi"/>
          <w:sz w:val="22"/>
        </w:rPr>
      </w:pPr>
      <w:r>
        <w:rPr>
          <w:rFonts w:asciiTheme="minorHAnsi" w:hAnsiTheme="minorHAnsi" w:cstheme="minorHAnsi"/>
          <w:sz w:val="22"/>
        </w:rPr>
        <w:t>In the majority of circumstances, we only deal with individuals that are resident in the UK</w:t>
      </w:r>
      <w:r>
        <w:rPr>
          <w:rFonts w:asciiTheme="minorHAnsi" w:hAnsiTheme="minorHAnsi" w:cstheme="minorHAnsi"/>
          <w:i/>
          <w:sz w:val="22"/>
        </w:rPr>
        <w:t>.</w:t>
      </w:r>
      <w:r>
        <w:rPr>
          <w:rFonts w:asciiTheme="minorHAnsi" w:hAnsiTheme="minorHAnsi" w:cstheme="minorHAnsi"/>
          <w:sz w:val="22"/>
        </w:rPr>
        <w:t xml:space="preserve"> However, when we do deal with individuals who are not UK nationals, we will follow the guidance in section 7.1.9 of this document. </w:t>
      </w:r>
    </w:p>
    <w:p w14:paraId="5F751E1E" w14:textId="77777777" w:rsidR="004D6A7B" w:rsidRDefault="004D6A7B" w:rsidP="004D6A7B">
      <w:pPr>
        <w:numPr>
          <w:ilvl w:val="0"/>
          <w:numId w:val="7"/>
        </w:numPr>
        <w:spacing w:after="0" w:line="240" w:lineRule="auto"/>
        <w:ind w:left="426" w:hanging="426"/>
        <w:jc w:val="left"/>
        <w:rPr>
          <w:rFonts w:asciiTheme="minorHAnsi" w:hAnsiTheme="minorHAnsi" w:cstheme="minorHAnsi"/>
          <w:sz w:val="22"/>
        </w:rPr>
      </w:pPr>
      <w:r>
        <w:rPr>
          <w:rFonts w:asciiTheme="minorHAnsi" w:hAnsiTheme="minorHAnsi" w:cstheme="minorHAnsi"/>
          <w:sz w:val="22"/>
        </w:rPr>
        <w:t xml:space="preserve">While we may transact regulated business on both a face to face and distance basis, however, we satisfy ourselves that the customers are who they say they are by conducting the appropriate due diligence.  </w:t>
      </w:r>
    </w:p>
    <w:p w14:paraId="2B115538" w14:textId="77777777" w:rsidR="004D6A7B" w:rsidRDefault="004D6A7B" w:rsidP="004D6A7B">
      <w:pPr>
        <w:numPr>
          <w:ilvl w:val="0"/>
          <w:numId w:val="7"/>
        </w:numPr>
        <w:spacing w:after="0" w:line="240" w:lineRule="auto"/>
        <w:ind w:left="426" w:hanging="426"/>
        <w:jc w:val="left"/>
        <w:rPr>
          <w:rFonts w:asciiTheme="minorHAnsi" w:hAnsiTheme="minorHAnsi" w:cstheme="minorHAnsi"/>
          <w:sz w:val="22"/>
        </w:rPr>
      </w:pPr>
      <w:r>
        <w:rPr>
          <w:rFonts w:asciiTheme="minorHAnsi" w:hAnsiTheme="minorHAnsi" w:cstheme="minorHAnsi"/>
          <w:sz w:val="22"/>
        </w:rPr>
        <w:t xml:space="preserve">Where appropriate satisfactory evidence is obtained.  We record that we have received appropriate evidence and keep this record for 5 years. </w:t>
      </w:r>
    </w:p>
    <w:p w14:paraId="52FF0389" w14:textId="77777777" w:rsidR="004D6A7B" w:rsidRDefault="004D6A7B" w:rsidP="004D6A7B">
      <w:pPr>
        <w:numPr>
          <w:ilvl w:val="0"/>
          <w:numId w:val="7"/>
        </w:numPr>
        <w:spacing w:after="0" w:line="240" w:lineRule="auto"/>
        <w:ind w:left="426" w:hanging="426"/>
        <w:jc w:val="left"/>
        <w:rPr>
          <w:rFonts w:asciiTheme="minorHAnsi" w:hAnsiTheme="minorHAnsi" w:cstheme="minorHAnsi"/>
          <w:sz w:val="22"/>
        </w:rPr>
      </w:pPr>
      <w:r>
        <w:rPr>
          <w:rFonts w:asciiTheme="minorHAnsi" w:hAnsiTheme="minorHAnsi" w:cstheme="minorHAnsi"/>
          <w:sz w:val="22"/>
        </w:rPr>
        <w:t>We will take into account any experience/knowledge we may have of the customer where we have previously dealt with them.</w:t>
      </w:r>
    </w:p>
    <w:p w14:paraId="1C376F78" w14:textId="77777777" w:rsidR="004D6A7B" w:rsidRDefault="004D6A7B" w:rsidP="004D6A7B">
      <w:pPr>
        <w:numPr>
          <w:ilvl w:val="0"/>
          <w:numId w:val="7"/>
        </w:numPr>
        <w:tabs>
          <w:tab w:val="num" w:pos="426"/>
        </w:tabs>
        <w:spacing w:after="0" w:line="240" w:lineRule="auto"/>
        <w:ind w:hanging="644"/>
        <w:jc w:val="left"/>
        <w:rPr>
          <w:rFonts w:asciiTheme="minorHAnsi" w:hAnsiTheme="minorHAnsi" w:cstheme="minorHAnsi"/>
          <w:sz w:val="22"/>
        </w:rPr>
      </w:pPr>
      <w:r>
        <w:rPr>
          <w:rFonts w:asciiTheme="minorHAnsi" w:hAnsiTheme="minorHAnsi" w:cstheme="minorHAnsi"/>
          <w:sz w:val="22"/>
        </w:rPr>
        <w:t>Commercial customers, sole traders and partnerships where there is another person likely to benefit from the product or service will undergo our firm’s due diligence.</w:t>
      </w:r>
    </w:p>
    <w:p w14:paraId="15BC1A20" w14:textId="77777777" w:rsidR="004D6A7B" w:rsidRDefault="004D6A7B" w:rsidP="004D6A7B">
      <w:pPr>
        <w:numPr>
          <w:ilvl w:val="0"/>
          <w:numId w:val="7"/>
        </w:numPr>
        <w:spacing w:after="0" w:line="240" w:lineRule="auto"/>
        <w:ind w:left="426" w:hanging="426"/>
        <w:jc w:val="left"/>
        <w:rPr>
          <w:rFonts w:asciiTheme="minorHAnsi" w:hAnsiTheme="minorHAnsi" w:cstheme="minorHAnsi"/>
          <w:b/>
          <w:sz w:val="22"/>
        </w:rPr>
      </w:pPr>
      <w:r>
        <w:rPr>
          <w:rFonts w:asciiTheme="minorHAnsi" w:hAnsiTheme="minorHAnsi" w:cstheme="minorHAnsi"/>
          <w:b/>
          <w:sz w:val="22"/>
        </w:rPr>
        <w:t>If we suspect, we are dealing with a suspicious transaction we take the following steps:</w:t>
      </w:r>
    </w:p>
    <w:p w14:paraId="6C42F4B2" w14:textId="77777777" w:rsidR="004D6A7B" w:rsidRDefault="004D6A7B" w:rsidP="004D6A7B">
      <w:pPr>
        <w:pStyle w:val="ListParagraph"/>
        <w:numPr>
          <w:ilvl w:val="0"/>
          <w:numId w:val="8"/>
        </w:numPr>
        <w:spacing w:after="0" w:line="240" w:lineRule="auto"/>
        <w:contextualSpacing w:val="0"/>
        <w:jc w:val="left"/>
        <w:rPr>
          <w:rFonts w:asciiTheme="minorHAnsi" w:hAnsiTheme="minorHAnsi" w:cstheme="minorHAnsi"/>
          <w:sz w:val="22"/>
        </w:rPr>
      </w:pPr>
      <w:r>
        <w:rPr>
          <w:rFonts w:asciiTheme="minorHAnsi" w:hAnsiTheme="minorHAnsi" w:cstheme="minorHAnsi"/>
          <w:sz w:val="22"/>
        </w:rPr>
        <w:t>If appropriate refer to another member of staff but not in a manner that would alert the customer to the fact we have knowledge or are suspicious of money laundering (tipping off) or any other suspicious activities.</w:t>
      </w:r>
    </w:p>
    <w:p w14:paraId="5FB23DE8" w14:textId="77777777" w:rsidR="004D6A7B" w:rsidRDefault="004D6A7B" w:rsidP="004D6A7B">
      <w:pPr>
        <w:pStyle w:val="ListParagraph"/>
        <w:numPr>
          <w:ilvl w:val="0"/>
          <w:numId w:val="8"/>
        </w:numPr>
        <w:spacing w:after="0" w:line="240" w:lineRule="auto"/>
        <w:contextualSpacing w:val="0"/>
        <w:jc w:val="left"/>
        <w:rPr>
          <w:rFonts w:asciiTheme="minorHAnsi" w:hAnsiTheme="minorHAnsi" w:cstheme="minorHAnsi"/>
          <w:sz w:val="22"/>
        </w:rPr>
      </w:pPr>
      <w:r>
        <w:rPr>
          <w:rFonts w:asciiTheme="minorHAnsi" w:hAnsiTheme="minorHAnsi" w:cstheme="minorHAnsi"/>
          <w:sz w:val="22"/>
        </w:rPr>
        <w:t>Where appropriate, request more detailed identity checks as per section 7.1.4 above.</w:t>
      </w:r>
    </w:p>
    <w:p w14:paraId="53FDE730" w14:textId="77777777" w:rsidR="004D6A7B" w:rsidRDefault="004D6A7B" w:rsidP="004D6A7B">
      <w:pPr>
        <w:pStyle w:val="ListParagraph"/>
        <w:numPr>
          <w:ilvl w:val="0"/>
          <w:numId w:val="8"/>
        </w:numPr>
        <w:spacing w:after="0" w:line="240" w:lineRule="auto"/>
        <w:contextualSpacing w:val="0"/>
        <w:jc w:val="left"/>
        <w:rPr>
          <w:rFonts w:asciiTheme="minorHAnsi" w:hAnsiTheme="minorHAnsi" w:cstheme="minorHAnsi"/>
          <w:sz w:val="22"/>
        </w:rPr>
      </w:pPr>
      <w:r>
        <w:rPr>
          <w:rFonts w:asciiTheme="minorHAnsi" w:hAnsiTheme="minorHAnsi" w:cstheme="minorHAnsi"/>
          <w:sz w:val="22"/>
        </w:rPr>
        <w:t>We will not discuss our suspicions with anyone within or outside the office who is not authorised to deal with such concerns.</w:t>
      </w:r>
    </w:p>
    <w:p w14:paraId="4E9B0A95" w14:textId="77777777" w:rsidR="004D6A7B" w:rsidRDefault="004D6A7B" w:rsidP="004D6A7B">
      <w:pPr>
        <w:pStyle w:val="ListParagraph"/>
        <w:numPr>
          <w:ilvl w:val="0"/>
          <w:numId w:val="8"/>
        </w:numPr>
        <w:spacing w:after="0" w:line="240" w:lineRule="auto"/>
        <w:contextualSpacing w:val="0"/>
        <w:jc w:val="left"/>
        <w:rPr>
          <w:rFonts w:asciiTheme="minorHAnsi" w:hAnsiTheme="minorHAnsi" w:cstheme="minorHAnsi"/>
          <w:sz w:val="22"/>
        </w:rPr>
      </w:pPr>
      <w:r>
        <w:rPr>
          <w:rFonts w:asciiTheme="minorHAnsi" w:hAnsiTheme="minorHAnsi" w:cstheme="minorHAnsi"/>
          <w:sz w:val="22"/>
        </w:rPr>
        <w:t>The staff member will report in confidence to the MLRO and agree a course of action which may include gaining supplementary information, documentation, etc. The MLRO will assist the staff member and where appropriate take over the transaction.</w:t>
      </w:r>
    </w:p>
    <w:p w14:paraId="2CF1D06B" w14:textId="77777777" w:rsidR="004D6A7B" w:rsidRDefault="004D6A7B" w:rsidP="004D6A7B">
      <w:pPr>
        <w:pStyle w:val="ListParagraph"/>
        <w:numPr>
          <w:ilvl w:val="0"/>
          <w:numId w:val="8"/>
        </w:numPr>
        <w:spacing w:after="0" w:line="240" w:lineRule="auto"/>
        <w:contextualSpacing w:val="0"/>
        <w:jc w:val="left"/>
        <w:rPr>
          <w:rFonts w:asciiTheme="minorHAnsi" w:hAnsiTheme="minorHAnsi" w:cstheme="minorHAnsi"/>
          <w:b/>
          <w:sz w:val="22"/>
        </w:rPr>
      </w:pPr>
      <w:r>
        <w:rPr>
          <w:rFonts w:asciiTheme="minorHAnsi" w:hAnsiTheme="minorHAnsi" w:cstheme="minorHAnsi"/>
          <w:b/>
          <w:sz w:val="22"/>
        </w:rPr>
        <w:lastRenderedPageBreak/>
        <w:t>The MRLO will notify Resolution of any such concerns; Resolution will then manage the investigation and external notifications</w:t>
      </w:r>
    </w:p>
    <w:p w14:paraId="53D56DFD" w14:textId="77777777" w:rsidR="004D6A7B" w:rsidRDefault="004D6A7B" w:rsidP="004D6A7B">
      <w:pPr>
        <w:pStyle w:val="ListParagraph"/>
        <w:numPr>
          <w:ilvl w:val="0"/>
          <w:numId w:val="8"/>
        </w:numPr>
        <w:spacing w:after="0" w:line="240" w:lineRule="auto"/>
        <w:contextualSpacing w:val="0"/>
        <w:jc w:val="left"/>
        <w:rPr>
          <w:rFonts w:asciiTheme="minorHAnsi" w:hAnsiTheme="minorHAnsi" w:cstheme="minorHAnsi"/>
          <w:sz w:val="22"/>
        </w:rPr>
      </w:pPr>
      <w:r>
        <w:rPr>
          <w:rFonts w:asciiTheme="minorHAnsi" w:hAnsiTheme="minorHAnsi" w:cstheme="minorHAnsi"/>
          <w:sz w:val="22"/>
        </w:rPr>
        <w:t>The MLRO will acknowledge in writing to the staff member that the MLRO will undertake an investigation and that the member of staff has filled their obligation by reporting the suspicion.</w:t>
      </w:r>
    </w:p>
    <w:p w14:paraId="3DE969F0" w14:textId="77777777" w:rsidR="004D6A7B" w:rsidRDefault="004D6A7B" w:rsidP="004D6A7B">
      <w:pPr>
        <w:pStyle w:val="ListParagraph"/>
        <w:numPr>
          <w:ilvl w:val="0"/>
          <w:numId w:val="8"/>
        </w:numPr>
        <w:spacing w:after="0" w:line="240" w:lineRule="auto"/>
        <w:contextualSpacing w:val="0"/>
        <w:jc w:val="left"/>
        <w:rPr>
          <w:rFonts w:asciiTheme="minorHAnsi" w:hAnsiTheme="minorHAnsi" w:cstheme="minorHAnsi"/>
          <w:sz w:val="22"/>
        </w:rPr>
      </w:pPr>
      <w:r>
        <w:rPr>
          <w:rFonts w:asciiTheme="minorHAnsi" w:hAnsiTheme="minorHAnsi" w:cstheme="minorHAnsi"/>
          <w:sz w:val="22"/>
        </w:rPr>
        <w:t>The MLRO may, if appropriate, make a duplicate file which will be marked ‘Confidential Restricted’ and kept in a secure place which has restricted access. In this scenario, the general file to be used by staff for the IHC’s transaction will be marked as ‘Refer to the Head of Corporate &amp; Commercial Law’.</w:t>
      </w:r>
    </w:p>
    <w:p w14:paraId="2C7AEBA0" w14:textId="62B9F24A" w:rsidR="004D6A7B" w:rsidRPr="004D6A7B" w:rsidRDefault="004D6A7B" w:rsidP="004D6A7B">
      <w:pPr>
        <w:pStyle w:val="ListParagraph"/>
        <w:numPr>
          <w:ilvl w:val="0"/>
          <w:numId w:val="8"/>
        </w:numPr>
        <w:spacing w:after="0" w:line="240" w:lineRule="auto"/>
        <w:contextualSpacing w:val="0"/>
        <w:jc w:val="left"/>
        <w:rPr>
          <w:rFonts w:asciiTheme="minorHAnsi" w:hAnsiTheme="minorHAnsi" w:cstheme="minorHAnsi"/>
          <w:sz w:val="22"/>
        </w:rPr>
      </w:pPr>
      <w:r>
        <w:rPr>
          <w:rFonts w:asciiTheme="minorHAnsi" w:hAnsiTheme="minorHAnsi" w:cstheme="minorHAnsi"/>
          <w:sz w:val="22"/>
        </w:rPr>
        <w:t>The MLRO will undertake a thorough investigation and make a report of the suspicious event</w:t>
      </w:r>
      <w:r>
        <w:rPr>
          <w:rFonts w:asciiTheme="minorHAnsi" w:hAnsiTheme="minorHAnsi" w:cstheme="minorHAnsi"/>
          <w:b/>
          <w:sz w:val="22"/>
        </w:rPr>
        <w:t>, even if the business is not taken up</w:t>
      </w:r>
      <w:r>
        <w:rPr>
          <w:rFonts w:asciiTheme="minorHAnsi" w:hAnsiTheme="minorHAnsi" w:cstheme="minorHAnsi"/>
          <w:sz w:val="22"/>
        </w:rPr>
        <w:t xml:space="preserve">.  </w:t>
      </w:r>
    </w:p>
    <w:p w14:paraId="6B7F3219" w14:textId="081C0A34" w:rsidR="004D6A7B" w:rsidRPr="004D6A7B" w:rsidRDefault="004D6A7B" w:rsidP="004D6A7B">
      <w:pPr>
        <w:pStyle w:val="ListParagraph"/>
        <w:numPr>
          <w:ilvl w:val="0"/>
          <w:numId w:val="8"/>
        </w:numPr>
        <w:spacing w:after="0" w:line="240" w:lineRule="auto"/>
        <w:contextualSpacing w:val="0"/>
        <w:jc w:val="left"/>
        <w:rPr>
          <w:rFonts w:asciiTheme="minorHAnsi" w:hAnsiTheme="minorHAnsi" w:cstheme="minorHAnsi"/>
          <w:sz w:val="22"/>
        </w:rPr>
      </w:pPr>
      <w:r>
        <w:rPr>
          <w:rFonts w:asciiTheme="minorHAnsi" w:hAnsiTheme="minorHAnsi" w:cstheme="minorHAnsi"/>
          <w:sz w:val="22"/>
        </w:rPr>
        <w:t>The report will include:</w:t>
      </w:r>
    </w:p>
    <w:p w14:paraId="09B1C6AC" w14:textId="77777777" w:rsidR="004D6A7B" w:rsidRDefault="004D6A7B" w:rsidP="004D6A7B">
      <w:pPr>
        <w:pStyle w:val="ListParagraph"/>
        <w:numPr>
          <w:ilvl w:val="0"/>
          <w:numId w:val="9"/>
        </w:numPr>
        <w:spacing w:after="0" w:line="240" w:lineRule="auto"/>
        <w:ind w:left="360"/>
        <w:contextualSpacing w:val="0"/>
        <w:jc w:val="left"/>
        <w:rPr>
          <w:rFonts w:asciiTheme="minorHAnsi" w:hAnsiTheme="minorHAnsi" w:cstheme="minorHAnsi"/>
          <w:sz w:val="22"/>
        </w:rPr>
      </w:pPr>
      <w:r>
        <w:rPr>
          <w:rFonts w:asciiTheme="minorHAnsi" w:hAnsiTheme="minorHAnsi" w:cstheme="minorHAnsi"/>
          <w:sz w:val="22"/>
        </w:rPr>
        <w:t>Details of all parties to the transaction</w:t>
      </w:r>
    </w:p>
    <w:p w14:paraId="041F79F2" w14:textId="77777777" w:rsidR="004D6A7B" w:rsidRDefault="004D6A7B" w:rsidP="004D6A7B">
      <w:pPr>
        <w:pStyle w:val="ListParagraph"/>
        <w:numPr>
          <w:ilvl w:val="0"/>
          <w:numId w:val="9"/>
        </w:numPr>
        <w:spacing w:after="0" w:line="240" w:lineRule="auto"/>
        <w:ind w:left="360"/>
        <w:contextualSpacing w:val="0"/>
        <w:jc w:val="left"/>
        <w:rPr>
          <w:rFonts w:asciiTheme="minorHAnsi" w:hAnsiTheme="minorHAnsi" w:cstheme="minorHAnsi"/>
          <w:sz w:val="22"/>
        </w:rPr>
      </w:pPr>
      <w:r>
        <w:rPr>
          <w:rFonts w:asciiTheme="minorHAnsi" w:hAnsiTheme="minorHAnsi" w:cstheme="minorHAnsi"/>
          <w:sz w:val="22"/>
        </w:rPr>
        <w:t>How the identity of the client was verified</w:t>
      </w:r>
    </w:p>
    <w:p w14:paraId="4695FB00" w14:textId="77777777" w:rsidR="004D6A7B" w:rsidRDefault="004D6A7B" w:rsidP="004D6A7B">
      <w:pPr>
        <w:pStyle w:val="ListParagraph"/>
        <w:numPr>
          <w:ilvl w:val="0"/>
          <w:numId w:val="9"/>
        </w:numPr>
        <w:spacing w:after="0" w:line="240" w:lineRule="auto"/>
        <w:ind w:left="360"/>
        <w:contextualSpacing w:val="0"/>
        <w:jc w:val="left"/>
        <w:rPr>
          <w:rFonts w:asciiTheme="minorHAnsi" w:hAnsiTheme="minorHAnsi" w:cstheme="minorHAnsi"/>
          <w:sz w:val="22"/>
        </w:rPr>
      </w:pPr>
      <w:r>
        <w:rPr>
          <w:rFonts w:asciiTheme="minorHAnsi" w:hAnsiTheme="minorHAnsi" w:cstheme="minorHAnsi"/>
          <w:sz w:val="22"/>
        </w:rPr>
        <w:t>A full description of the transaction</w:t>
      </w:r>
    </w:p>
    <w:p w14:paraId="434FA412" w14:textId="20CE0E44" w:rsidR="004D6A7B" w:rsidRPr="004D6A7B" w:rsidRDefault="004D6A7B" w:rsidP="004D6A7B">
      <w:pPr>
        <w:pStyle w:val="ListParagraph"/>
        <w:numPr>
          <w:ilvl w:val="0"/>
          <w:numId w:val="9"/>
        </w:numPr>
        <w:spacing w:after="0" w:line="240" w:lineRule="auto"/>
        <w:ind w:left="360"/>
        <w:contextualSpacing w:val="0"/>
        <w:jc w:val="left"/>
        <w:rPr>
          <w:rFonts w:asciiTheme="minorHAnsi" w:hAnsiTheme="minorHAnsi" w:cstheme="minorHAnsi"/>
          <w:sz w:val="22"/>
        </w:rPr>
      </w:pPr>
      <w:r>
        <w:rPr>
          <w:rFonts w:asciiTheme="minorHAnsi" w:hAnsiTheme="minorHAnsi" w:cstheme="minorHAnsi"/>
          <w:sz w:val="22"/>
        </w:rPr>
        <w:t>Reasons for suspicion and supporting evidence</w:t>
      </w:r>
    </w:p>
    <w:p w14:paraId="61561118" w14:textId="77777777" w:rsidR="004D6A7B" w:rsidRDefault="004D6A7B" w:rsidP="004D6A7B">
      <w:pPr>
        <w:numPr>
          <w:ilvl w:val="0"/>
          <w:numId w:val="7"/>
        </w:numPr>
        <w:spacing w:after="0" w:line="240" w:lineRule="auto"/>
        <w:ind w:left="426" w:hanging="426"/>
        <w:jc w:val="left"/>
        <w:rPr>
          <w:rFonts w:asciiTheme="minorHAnsi" w:hAnsiTheme="minorHAnsi" w:cstheme="minorHAnsi"/>
          <w:sz w:val="22"/>
        </w:rPr>
      </w:pPr>
      <w:r>
        <w:rPr>
          <w:rFonts w:asciiTheme="minorHAnsi" w:hAnsiTheme="minorHAnsi" w:cstheme="minorHAnsi"/>
          <w:sz w:val="22"/>
        </w:rPr>
        <w:t>Internal logging and notification to the firm’s Approved Persons will be made of the suspicion.</w:t>
      </w:r>
    </w:p>
    <w:p w14:paraId="3DDAAC4C" w14:textId="77777777" w:rsidR="004D6A7B" w:rsidRDefault="004D6A7B" w:rsidP="004D6A7B">
      <w:pPr>
        <w:numPr>
          <w:ilvl w:val="0"/>
          <w:numId w:val="7"/>
        </w:numPr>
        <w:spacing w:after="0" w:line="240" w:lineRule="auto"/>
        <w:ind w:left="426" w:hanging="426"/>
        <w:jc w:val="left"/>
        <w:rPr>
          <w:rFonts w:asciiTheme="minorHAnsi" w:hAnsiTheme="minorHAnsi" w:cstheme="minorHAnsi"/>
          <w:sz w:val="22"/>
        </w:rPr>
      </w:pPr>
      <w:r>
        <w:rPr>
          <w:rFonts w:asciiTheme="minorHAnsi" w:hAnsiTheme="minorHAnsi" w:cstheme="minorHAnsi"/>
          <w:sz w:val="22"/>
        </w:rPr>
        <w:t xml:space="preserve">The matter will be reported within 7 days to the National Crime Agency (NCA). Information regarding reporting is found on </w:t>
      </w:r>
      <w:hyperlink r:id="rId10" w:history="1">
        <w:r>
          <w:rPr>
            <w:rStyle w:val="Hyperlink"/>
            <w:rFonts w:asciiTheme="minorHAnsi" w:hAnsiTheme="minorHAnsi" w:cstheme="minorHAnsi"/>
            <w:sz w:val="22"/>
          </w:rPr>
          <w:t>www.nca.gov.uk</w:t>
        </w:r>
      </w:hyperlink>
      <w:r>
        <w:rPr>
          <w:rFonts w:asciiTheme="minorHAnsi" w:hAnsiTheme="minorHAnsi" w:cstheme="minorHAnsi"/>
          <w:sz w:val="22"/>
        </w:rPr>
        <w:t>.  All correspondence will be kept of 5 years.</w:t>
      </w:r>
    </w:p>
    <w:p w14:paraId="0910ACA4" w14:textId="77777777" w:rsidR="004D6A7B" w:rsidRDefault="004D6A7B" w:rsidP="004D6A7B">
      <w:pPr>
        <w:numPr>
          <w:ilvl w:val="0"/>
          <w:numId w:val="7"/>
        </w:numPr>
        <w:tabs>
          <w:tab w:val="num" w:pos="426"/>
        </w:tabs>
        <w:spacing w:after="0" w:line="240" w:lineRule="auto"/>
        <w:ind w:hanging="644"/>
        <w:jc w:val="left"/>
        <w:rPr>
          <w:rFonts w:asciiTheme="minorHAnsi" w:hAnsiTheme="minorHAnsi" w:cstheme="minorHAnsi"/>
          <w:sz w:val="22"/>
        </w:rPr>
      </w:pPr>
      <w:r>
        <w:rPr>
          <w:rFonts w:asciiTheme="minorHAnsi" w:hAnsiTheme="minorHAnsi" w:cstheme="minorHAnsi"/>
          <w:sz w:val="22"/>
        </w:rPr>
        <w:t xml:space="preserve">If a regulator, the FCA/ MoJ/ Finance House/Insurers/Police must be notified, notification will be made by our MLRO. </w:t>
      </w:r>
    </w:p>
    <w:p w14:paraId="163147E1" w14:textId="77777777" w:rsidR="004D6A7B" w:rsidRDefault="004D6A7B" w:rsidP="00F1417D">
      <w:pPr>
        <w:jc w:val="center"/>
      </w:pPr>
    </w:p>
    <w:sectPr w:rsidR="004D6A7B" w:rsidSect="00C42179">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1664E" w14:textId="77777777" w:rsidR="00C42179" w:rsidRDefault="00C42179" w:rsidP="00101692">
      <w:pPr>
        <w:spacing w:after="0" w:line="240" w:lineRule="auto"/>
      </w:pPr>
      <w:r>
        <w:separator/>
      </w:r>
    </w:p>
  </w:endnote>
  <w:endnote w:type="continuationSeparator" w:id="0">
    <w:p w14:paraId="7E5A55FC" w14:textId="77777777" w:rsidR="00C42179" w:rsidRDefault="00C42179" w:rsidP="0010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EEE3" w14:textId="77777777" w:rsidR="00101692" w:rsidRDefault="00101692">
    <w:pPr>
      <w:pStyle w:val="Footer"/>
    </w:pPr>
    <w:r>
      <w:rPr>
        <w:rFonts w:asciiTheme="majorHAnsi" w:eastAsiaTheme="majorEastAsia" w:hAnsiTheme="majorHAnsi" w:cstheme="majorBidi"/>
        <w:noProof/>
        <w:sz w:val="28"/>
        <w:szCs w:val="28"/>
        <w:lang w:eastAsia="en-GB"/>
      </w:rPr>
      <mc:AlternateContent>
        <mc:Choice Requires="wps">
          <w:drawing>
            <wp:anchor distT="0" distB="0" distL="114300" distR="114300" simplePos="0" relativeHeight="251661312" behindDoc="0" locked="0" layoutInCell="1" allowOverlap="1" wp14:anchorId="43C08630" wp14:editId="4BE8C351">
              <wp:simplePos x="0" y="0"/>
              <wp:positionH relativeFrom="rightMargin">
                <wp:posOffset>131445</wp:posOffset>
              </wp:positionH>
              <wp:positionV relativeFrom="bottomMargin">
                <wp:posOffset>243205</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ED664E0" w14:textId="77777777" w:rsidR="00101692" w:rsidRPr="00441D19" w:rsidRDefault="00101692" w:rsidP="00101692">
                          <w:pPr>
                            <w:pStyle w:val="Footer"/>
                            <w:pBdr>
                              <w:top w:val="single" w:sz="12" w:space="1" w:color="A5A5A5" w:themeColor="accent3"/>
                              <w:bottom w:val="single" w:sz="48" w:space="1" w:color="A5A5A5" w:themeColor="accent3"/>
                            </w:pBdr>
                            <w:jc w:val="center"/>
                            <w:rPr>
                              <w:rStyle w:val="Strong"/>
                            </w:rPr>
                          </w:pPr>
                          <w:r w:rsidRPr="00441D19">
                            <w:rPr>
                              <w:rStyle w:val="Strong"/>
                            </w:rPr>
                            <w:fldChar w:fldCharType="begin"/>
                          </w:r>
                          <w:r w:rsidRPr="00441D19">
                            <w:rPr>
                              <w:rStyle w:val="Strong"/>
                            </w:rPr>
                            <w:instrText xml:space="preserve"> PAGE    \* MERGEFORMAT </w:instrText>
                          </w:r>
                          <w:r w:rsidRPr="00441D19">
                            <w:rPr>
                              <w:rStyle w:val="Strong"/>
                            </w:rPr>
                            <w:fldChar w:fldCharType="separate"/>
                          </w:r>
                          <w:r>
                            <w:rPr>
                              <w:rStyle w:val="Strong"/>
                              <w:noProof/>
                            </w:rPr>
                            <w:t>1</w:t>
                          </w:r>
                          <w:r w:rsidRPr="00441D19">
                            <w:rPr>
                              <w:rStyle w:val="Strong"/>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0863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27" type="#_x0000_t176" style="position:absolute;left:0;text-align:left;margin-left:10.35pt;margin-top:19.15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" filled="f" fillcolor="#5c83b4" stroked="f" strokecolor="#737373">
              <v:textbox>
                <w:txbxContent>
                  <w:p w14:paraId="6ED664E0" w14:textId="77777777" w:rsidR="00101692" w:rsidRPr="00441D19" w:rsidRDefault="00101692" w:rsidP="00101692">
                    <w:pPr>
                      <w:pStyle w:val="Footer"/>
                      <w:pBdr>
                        <w:top w:val="single" w:sz="12" w:space="1" w:color="A5A5A5" w:themeColor="accent3"/>
                        <w:bottom w:val="single" w:sz="48" w:space="1" w:color="A5A5A5" w:themeColor="accent3"/>
                      </w:pBdr>
                      <w:jc w:val="center"/>
                      <w:rPr>
                        <w:rStyle w:val="Strong"/>
                      </w:rPr>
                    </w:pPr>
                    <w:r w:rsidRPr="00441D19">
                      <w:rPr>
                        <w:rStyle w:val="Strong"/>
                      </w:rPr>
                      <w:fldChar w:fldCharType="begin"/>
                    </w:r>
                    <w:r w:rsidRPr="00441D19">
                      <w:rPr>
                        <w:rStyle w:val="Strong"/>
                      </w:rPr>
                      <w:instrText xml:space="preserve"> PAGE    \* MERGEFORMAT </w:instrText>
                    </w:r>
                    <w:r w:rsidRPr="00441D19">
                      <w:rPr>
                        <w:rStyle w:val="Strong"/>
                      </w:rPr>
                      <w:fldChar w:fldCharType="separate"/>
                    </w:r>
                    <w:r>
                      <w:rPr>
                        <w:rStyle w:val="Strong"/>
                        <w:noProof/>
                      </w:rPr>
                      <w:t>1</w:t>
                    </w:r>
                    <w:r w:rsidRPr="00441D19">
                      <w:rPr>
                        <w:rStyle w:val="Strong"/>
                      </w:rPr>
                      <w:fldChar w:fldCharType="end"/>
                    </w:r>
                  </w:p>
                </w:txbxContent>
              </v:textbox>
              <w10:wrap anchorx="margin" anchory="margin"/>
            </v:shape>
          </w:pict>
        </mc:Fallback>
      </mc:AlternateContent>
    </w:r>
    <w:r w:rsidRPr="0026585E">
      <w:rPr>
        <w:noProof/>
        <w:sz w:val="24"/>
        <w:szCs w:val="24"/>
        <w:lang w:eastAsia="en-GB"/>
      </w:rPr>
      <mc:AlternateContent>
        <mc:Choice Requires="wps">
          <w:drawing>
            <wp:anchor distT="45720" distB="45720" distL="114300" distR="114300" simplePos="0" relativeHeight="251659264" behindDoc="0" locked="0" layoutInCell="1" allowOverlap="1" wp14:anchorId="3B99D923" wp14:editId="182BDDF9">
              <wp:simplePos x="0" y="0"/>
              <wp:positionH relativeFrom="column">
                <wp:posOffset>-762000</wp:posOffset>
              </wp:positionH>
              <wp:positionV relativeFrom="paragraph">
                <wp:posOffset>-50165</wp:posOffset>
              </wp:positionV>
              <wp:extent cx="6496050" cy="5238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23875"/>
                      </a:xfrm>
                      <a:prstGeom prst="rect">
                        <a:avLst/>
                      </a:prstGeom>
                      <a:noFill/>
                      <a:ln w="9525">
                        <a:noFill/>
                        <a:miter lim="800000"/>
                        <a:headEnd/>
                        <a:tailEnd/>
                      </a:ln>
                    </wps:spPr>
                    <wps:txbx>
                      <w:txbxContent>
                        <w:p w14:paraId="6C22BBCA" w14:textId="6CB92392" w:rsidR="00B057CA" w:rsidRPr="00B057CA" w:rsidRDefault="00101692" w:rsidP="004C296C">
                          <w:pPr>
                            <w:outlineLvl w:val="0"/>
                            <w:rPr>
                              <w:rStyle w:val="Strong"/>
                              <w:bCs w:val="0"/>
                              <w:sz w:val="16"/>
                            </w:rPr>
                          </w:pPr>
                          <w:r>
                            <w:rPr>
                              <w:rStyle w:val="Strong"/>
                            </w:rPr>
                            <w:tab/>
                          </w:r>
                          <w:r>
                            <w:rPr>
                              <w:rStyle w:val="Strong"/>
                            </w:rPr>
                            <w:tab/>
                          </w:r>
                        </w:p>
                        <w:p w14:paraId="0B8B1891" w14:textId="77777777" w:rsidR="00101692" w:rsidRPr="0026585E" w:rsidRDefault="00101692" w:rsidP="00101692">
                          <w:pPr>
                            <w:outlineLvl w:val="0"/>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9D923" id="_x0000_t202" coordsize="21600,21600" o:spt="202" path="m,l,21600r21600,l21600,xe">
              <v:stroke joinstyle="miter"/>
              <v:path gradientshapeok="t" o:connecttype="rect"/>
            </v:shapetype>
            <v:shape id="Text Box 2" o:spid="_x0000_s1028" type="#_x0000_t202" style="position:absolute;left:0;text-align:left;margin-left:-60pt;margin-top:-3.95pt;width:511.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" filled="f" stroked="f">
              <v:textbox>
                <w:txbxContent>
                  <w:p w14:paraId="6C22BBCA" w14:textId="6CB92392" w:rsidR="00B057CA" w:rsidRPr="00B057CA" w:rsidRDefault="00101692" w:rsidP="004C296C">
                    <w:pPr>
                      <w:outlineLvl w:val="0"/>
                      <w:rPr>
                        <w:rStyle w:val="Strong"/>
                        <w:bCs w:val="0"/>
                        <w:sz w:val="16"/>
                      </w:rPr>
                    </w:pPr>
                    <w:r>
                      <w:rPr>
                        <w:rStyle w:val="Strong"/>
                      </w:rPr>
                      <w:tab/>
                    </w:r>
                    <w:r>
                      <w:rPr>
                        <w:rStyle w:val="Strong"/>
                      </w:rPr>
                      <w:tab/>
                    </w:r>
                  </w:p>
                  <w:p w14:paraId="0B8B1891" w14:textId="77777777" w:rsidR="00101692" w:rsidRPr="0026585E" w:rsidRDefault="00101692" w:rsidP="00101692">
                    <w:pPr>
                      <w:outlineLvl w:val="0"/>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8F60" w14:textId="77777777" w:rsidR="00C42179" w:rsidRDefault="00C42179" w:rsidP="00101692">
      <w:pPr>
        <w:spacing w:after="0" w:line="240" w:lineRule="auto"/>
      </w:pPr>
      <w:r>
        <w:separator/>
      </w:r>
    </w:p>
  </w:footnote>
  <w:footnote w:type="continuationSeparator" w:id="0">
    <w:p w14:paraId="2EC725B3" w14:textId="77777777" w:rsidR="00C42179" w:rsidRDefault="00C42179" w:rsidP="00101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B9B7" w14:textId="1DE84B3D" w:rsidR="00101692" w:rsidRPr="00E62CDE" w:rsidRDefault="00000000" w:rsidP="00101692">
    <w:pPr>
      <w:pStyle w:val="Header"/>
      <w:pBdr>
        <w:bottom w:val="thinThickSmallGap" w:sz="24" w:space="1" w:color="808080" w:themeColor="background1" w:themeShade="80"/>
      </w:pBdr>
      <w:jc w:val="right"/>
      <w:rPr>
        <w:rStyle w:val="IntenseEmphasis"/>
      </w:rPr>
    </w:pPr>
    <w:sdt>
      <w:sdtPr>
        <w:rPr>
          <w:rStyle w:val="IntenseEmphasis"/>
        </w:rPr>
        <w:alias w:val="Title"/>
        <w:tag w:val=""/>
        <w:id w:val="-1078586049"/>
        <w:placeholder>
          <w:docPart w:val="039E616F0DCC4D87A86247859992315B"/>
        </w:placeholder>
        <w:dataBinding w:prefixMappings="xmlns:ns0='http://purl.org/dc/elements/1.1/' xmlns:ns1='http://schemas.openxmlformats.org/package/2006/metadata/core-properties' " w:xpath="/ns1:coreProperties[1]/ns0:title[1]" w:storeItemID="{6C3C8BC8-F283-45AE-878A-BAB7291924A1}"/>
        <w:text/>
      </w:sdtPr>
      <w:sdtContent>
        <w:r w:rsidR="00641EB7">
          <w:rPr>
            <w:rStyle w:val="IntenseEmphasis"/>
          </w:rPr>
          <w:t>Moonraker Motorcycles Ltd                     Anti-Money Laundering Policy</w:t>
        </w:r>
      </w:sdtContent>
    </w:sdt>
  </w:p>
  <w:p w14:paraId="4E27831D" w14:textId="77777777" w:rsidR="00101692" w:rsidRDefault="00101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05D82"/>
    <w:multiLevelType w:val="hybridMultilevel"/>
    <w:tmpl w:val="1FD6C470"/>
    <w:lvl w:ilvl="0" w:tplc="E7F8C80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B7A12C3"/>
    <w:multiLevelType w:val="hybridMultilevel"/>
    <w:tmpl w:val="DC4E1D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B22530C"/>
    <w:multiLevelType w:val="hybridMultilevel"/>
    <w:tmpl w:val="54E68A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E85715B"/>
    <w:multiLevelType w:val="hybridMultilevel"/>
    <w:tmpl w:val="0DB4F3DE"/>
    <w:lvl w:ilvl="0" w:tplc="E6362536">
      <w:start w:val="1"/>
      <w:numFmt w:val="decimal"/>
      <w:lvlText w:val="%1."/>
      <w:lvlJc w:val="left"/>
      <w:pPr>
        <w:tabs>
          <w:tab w:val="num" w:pos="644"/>
        </w:tabs>
        <w:ind w:left="644"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42651B0"/>
    <w:multiLevelType w:val="multilevel"/>
    <w:tmpl w:val="4B1CFEF4"/>
    <w:name w:val="HRS Bullets22"/>
    <w:lvl w:ilvl="0">
      <w:start w:val="1"/>
      <w:numFmt w:val="decimal"/>
      <w:pStyle w:val="Heading1"/>
      <w:lvlText w:val="%1"/>
      <w:lvlJc w:val="left"/>
      <w:pPr>
        <w:ind w:left="432" w:hanging="432"/>
      </w:pPr>
    </w:lvl>
    <w:lvl w:ilvl="1">
      <w:start w:val="1"/>
      <w:numFmt w:val="decimal"/>
      <w:pStyle w:val="Heading2"/>
      <w:lvlText w:val="%1.%2"/>
      <w:lvlJc w:val="left"/>
      <w:pPr>
        <w:ind w:left="78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7183DF6"/>
    <w:multiLevelType w:val="hybridMultilevel"/>
    <w:tmpl w:val="94E806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3142428"/>
    <w:multiLevelType w:val="hybridMultilevel"/>
    <w:tmpl w:val="AE6856F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795945873">
    <w:abstractNumId w:val="4"/>
  </w:num>
  <w:num w:numId="2" w16cid:durableId="303588734">
    <w:abstractNumId w:val="0"/>
  </w:num>
  <w:num w:numId="3" w16cid:durableId="1276133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7183848">
    <w:abstractNumId w:val="0"/>
  </w:num>
  <w:num w:numId="5" w16cid:durableId="714887050">
    <w:abstractNumId w:val="6"/>
  </w:num>
  <w:num w:numId="6" w16cid:durableId="2121491431">
    <w:abstractNumId w:val="2"/>
  </w:num>
  <w:num w:numId="7" w16cid:durableId="1781875120">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882854">
    <w:abstractNumId w:val="1"/>
  </w:num>
  <w:num w:numId="9" w16cid:durableId="53419937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88"/>
    <w:rsid w:val="000C44DD"/>
    <w:rsid w:val="000F03A4"/>
    <w:rsid w:val="00101692"/>
    <w:rsid w:val="001040FC"/>
    <w:rsid w:val="00107C82"/>
    <w:rsid w:val="002A05D3"/>
    <w:rsid w:val="003B4DEA"/>
    <w:rsid w:val="003F7323"/>
    <w:rsid w:val="00414060"/>
    <w:rsid w:val="0042625B"/>
    <w:rsid w:val="00467E8E"/>
    <w:rsid w:val="004C296C"/>
    <w:rsid w:val="004D2C96"/>
    <w:rsid w:val="004D6A7B"/>
    <w:rsid w:val="004F6655"/>
    <w:rsid w:val="00501CCF"/>
    <w:rsid w:val="00573423"/>
    <w:rsid w:val="00641EB7"/>
    <w:rsid w:val="0066666D"/>
    <w:rsid w:val="00686BB5"/>
    <w:rsid w:val="0070239B"/>
    <w:rsid w:val="00785B96"/>
    <w:rsid w:val="007C7C90"/>
    <w:rsid w:val="008771A5"/>
    <w:rsid w:val="008D0905"/>
    <w:rsid w:val="009823C1"/>
    <w:rsid w:val="009C6075"/>
    <w:rsid w:val="009E3821"/>
    <w:rsid w:val="00AC73EF"/>
    <w:rsid w:val="00AF3640"/>
    <w:rsid w:val="00B053AA"/>
    <w:rsid w:val="00B057CA"/>
    <w:rsid w:val="00B80C7F"/>
    <w:rsid w:val="00C42179"/>
    <w:rsid w:val="00C47610"/>
    <w:rsid w:val="00D0593A"/>
    <w:rsid w:val="00D762B5"/>
    <w:rsid w:val="00DA23CA"/>
    <w:rsid w:val="00DC3202"/>
    <w:rsid w:val="00DE2F30"/>
    <w:rsid w:val="00E30CE7"/>
    <w:rsid w:val="00E90888"/>
    <w:rsid w:val="00EF21D8"/>
    <w:rsid w:val="00F1417D"/>
    <w:rsid w:val="00F819A2"/>
    <w:rsid w:val="00FC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435B"/>
  <w15:chartTrackingRefBased/>
  <w15:docId w15:val="{2DB4CBE9-154E-4F76-AACC-1FE2318A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88"/>
    <w:pPr>
      <w:spacing w:line="288" w:lineRule="auto"/>
      <w:jc w:val="both"/>
    </w:pPr>
    <w:rPr>
      <w:rFonts w:ascii="Lato" w:hAnsi="Lato"/>
      <w:color w:val="262626" w:themeColor="text1" w:themeTint="D9"/>
      <w:sz w:val="20"/>
    </w:rPr>
  </w:style>
  <w:style w:type="paragraph" w:styleId="Heading1">
    <w:name w:val="heading 1"/>
    <w:basedOn w:val="Normal"/>
    <w:next w:val="Normal"/>
    <w:link w:val="Heading1Char"/>
    <w:uiPriority w:val="9"/>
    <w:qFormat/>
    <w:rsid w:val="00E90888"/>
    <w:pPr>
      <w:keepNext/>
      <w:keepLines/>
      <w:numPr>
        <w:numId w:val="1"/>
      </w:numPr>
      <w:tabs>
        <w:tab w:val="left" w:pos="851"/>
      </w:tabs>
      <w:spacing w:before="240" w:after="80"/>
      <w:outlineLvl w:val="0"/>
    </w:pPr>
    <w:rPr>
      <w:rFonts w:eastAsiaTheme="majorEastAsia" w:cstheme="majorBidi"/>
      <w:b/>
      <w:sz w:val="28"/>
      <w:szCs w:val="32"/>
    </w:rPr>
  </w:style>
  <w:style w:type="paragraph" w:styleId="Heading2">
    <w:name w:val="heading 2"/>
    <w:next w:val="Normal"/>
    <w:link w:val="Heading2Char"/>
    <w:uiPriority w:val="9"/>
    <w:unhideWhenUsed/>
    <w:qFormat/>
    <w:rsid w:val="00E90888"/>
    <w:pPr>
      <w:keepNext/>
      <w:keepLines/>
      <w:numPr>
        <w:ilvl w:val="1"/>
        <w:numId w:val="1"/>
      </w:numPr>
      <w:tabs>
        <w:tab w:val="left" w:pos="851"/>
      </w:tabs>
      <w:spacing w:before="240" w:after="80" w:line="288" w:lineRule="auto"/>
      <w:ind w:left="851" w:hanging="851"/>
      <w:outlineLvl w:val="1"/>
    </w:pPr>
    <w:rPr>
      <w:rFonts w:ascii="Lato" w:eastAsiaTheme="majorEastAsia" w:hAnsi="Lato" w:cstheme="majorBidi"/>
      <w:b/>
      <w:color w:val="262626" w:themeColor="text1" w:themeTint="D9"/>
      <w:sz w:val="24"/>
      <w:szCs w:val="26"/>
    </w:rPr>
  </w:style>
  <w:style w:type="paragraph" w:styleId="Heading3">
    <w:name w:val="heading 3"/>
    <w:basedOn w:val="Heading2"/>
    <w:next w:val="Normal"/>
    <w:link w:val="Heading3Char"/>
    <w:uiPriority w:val="9"/>
    <w:unhideWhenUsed/>
    <w:qFormat/>
    <w:rsid w:val="00E90888"/>
    <w:pPr>
      <w:numPr>
        <w:ilvl w:val="2"/>
      </w:numPr>
      <w:ind w:left="851" w:hanging="851"/>
      <w:jc w:val="both"/>
      <w:outlineLvl w:val="2"/>
    </w:pPr>
    <w:rPr>
      <w:b w:val="0"/>
      <w:sz w:val="20"/>
      <w:szCs w:val="24"/>
    </w:rPr>
  </w:style>
  <w:style w:type="paragraph" w:styleId="Heading4">
    <w:name w:val="heading 4"/>
    <w:basedOn w:val="Normal"/>
    <w:next w:val="Normal"/>
    <w:link w:val="Heading4Char"/>
    <w:uiPriority w:val="9"/>
    <w:unhideWhenUsed/>
    <w:qFormat/>
    <w:rsid w:val="00E90888"/>
    <w:pPr>
      <w:keepNext/>
      <w:numPr>
        <w:ilvl w:val="3"/>
        <w:numId w:val="1"/>
      </w:numPr>
      <w:spacing w:before="240" w:after="80"/>
      <w:ind w:left="1713" w:hanging="862"/>
      <w:outlineLvl w:val="3"/>
    </w:pPr>
    <w:rPr>
      <w:rFonts w:eastAsia="Times New Roman" w:cs="Times New Roman"/>
      <w:bCs/>
      <w:color w:val="595959" w:themeColor="text1" w:themeTint="A6"/>
      <w:szCs w:val="28"/>
      <w:lang w:val="x-none"/>
    </w:rPr>
  </w:style>
  <w:style w:type="paragraph" w:styleId="Heading5">
    <w:name w:val="heading 5"/>
    <w:basedOn w:val="Normal"/>
    <w:next w:val="Normal"/>
    <w:link w:val="Heading5Char"/>
    <w:uiPriority w:val="9"/>
    <w:semiHidden/>
    <w:unhideWhenUsed/>
    <w:qFormat/>
    <w:rsid w:val="00E908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908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908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908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08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88"/>
    <w:rPr>
      <w:rFonts w:ascii="Lato" w:eastAsiaTheme="majorEastAsia" w:hAnsi="Lato" w:cstheme="majorBidi"/>
      <w:b/>
      <w:color w:val="262626" w:themeColor="text1" w:themeTint="D9"/>
      <w:sz w:val="28"/>
      <w:szCs w:val="32"/>
    </w:rPr>
  </w:style>
  <w:style w:type="character" w:customStyle="1" w:styleId="Heading2Char">
    <w:name w:val="Heading 2 Char"/>
    <w:basedOn w:val="DefaultParagraphFont"/>
    <w:link w:val="Heading2"/>
    <w:uiPriority w:val="9"/>
    <w:rsid w:val="00E90888"/>
    <w:rPr>
      <w:rFonts w:ascii="Lato" w:eastAsiaTheme="majorEastAsia" w:hAnsi="Lato" w:cstheme="majorBidi"/>
      <w:b/>
      <w:color w:val="262626" w:themeColor="text1" w:themeTint="D9"/>
      <w:sz w:val="24"/>
      <w:szCs w:val="26"/>
    </w:rPr>
  </w:style>
  <w:style w:type="character" w:customStyle="1" w:styleId="Heading3Char">
    <w:name w:val="Heading 3 Char"/>
    <w:basedOn w:val="DefaultParagraphFont"/>
    <w:link w:val="Heading3"/>
    <w:uiPriority w:val="9"/>
    <w:rsid w:val="00E90888"/>
    <w:rPr>
      <w:rFonts w:ascii="Lato" w:eastAsiaTheme="majorEastAsia" w:hAnsi="Lato" w:cstheme="majorBidi"/>
      <w:color w:val="262626" w:themeColor="text1" w:themeTint="D9"/>
      <w:sz w:val="20"/>
      <w:szCs w:val="24"/>
    </w:rPr>
  </w:style>
  <w:style w:type="character" w:customStyle="1" w:styleId="Heading4Char">
    <w:name w:val="Heading 4 Char"/>
    <w:basedOn w:val="DefaultParagraphFont"/>
    <w:link w:val="Heading4"/>
    <w:uiPriority w:val="9"/>
    <w:rsid w:val="00E90888"/>
    <w:rPr>
      <w:rFonts w:ascii="Lato" w:eastAsia="Times New Roman" w:hAnsi="Lato" w:cs="Times New Roman"/>
      <w:bCs/>
      <w:color w:val="595959" w:themeColor="text1" w:themeTint="A6"/>
      <w:sz w:val="20"/>
      <w:szCs w:val="28"/>
      <w:lang w:val="x-none"/>
    </w:rPr>
  </w:style>
  <w:style w:type="character" w:customStyle="1" w:styleId="Heading5Char">
    <w:name w:val="Heading 5 Char"/>
    <w:basedOn w:val="DefaultParagraphFont"/>
    <w:link w:val="Heading5"/>
    <w:uiPriority w:val="9"/>
    <w:semiHidden/>
    <w:rsid w:val="00E9088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E90888"/>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E90888"/>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E908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088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E90888"/>
    <w:pPr>
      <w:numPr>
        <w:numId w:val="2"/>
      </w:numPr>
      <w:ind w:left="1248" w:hanging="397"/>
      <w:contextualSpacing/>
    </w:pPr>
  </w:style>
  <w:style w:type="character" w:styleId="Hyperlink">
    <w:name w:val="Hyperlink"/>
    <w:basedOn w:val="DefaultParagraphFont"/>
    <w:uiPriority w:val="99"/>
    <w:unhideWhenUsed/>
    <w:rsid w:val="00E90888"/>
    <w:rPr>
      <w:color w:val="0563C1" w:themeColor="hyperlink"/>
      <w:u w:val="single"/>
    </w:rPr>
  </w:style>
  <w:style w:type="paragraph" w:styleId="TOCHeading">
    <w:name w:val="TOC Heading"/>
    <w:basedOn w:val="Heading1"/>
    <w:next w:val="Normal"/>
    <w:uiPriority w:val="39"/>
    <w:unhideWhenUsed/>
    <w:qFormat/>
    <w:rsid w:val="00E90888"/>
    <w:pPr>
      <w:numPr>
        <w:numId w:val="0"/>
      </w:numPr>
      <w:outlineLvl w:val="9"/>
    </w:pPr>
    <w:rPr>
      <w:lang w:val="en-US"/>
    </w:rPr>
  </w:style>
  <w:style w:type="paragraph" w:styleId="TOC1">
    <w:name w:val="toc 1"/>
    <w:basedOn w:val="Normal"/>
    <w:next w:val="Normal"/>
    <w:autoRedefine/>
    <w:uiPriority w:val="39"/>
    <w:unhideWhenUsed/>
    <w:rsid w:val="00E90888"/>
    <w:pPr>
      <w:tabs>
        <w:tab w:val="left" w:pos="567"/>
        <w:tab w:val="right" w:leader="dot" w:pos="9040"/>
      </w:tabs>
      <w:spacing w:after="100"/>
    </w:pPr>
  </w:style>
  <w:style w:type="paragraph" w:customStyle="1" w:styleId="HighlightText">
    <w:name w:val="Highlight Text"/>
    <w:basedOn w:val="Normal"/>
    <w:link w:val="HighlightTextChar"/>
    <w:qFormat/>
    <w:rsid w:val="00E90888"/>
    <w:pPr>
      <w:shd w:val="clear" w:color="auto" w:fill="EE2B7B"/>
    </w:pPr>
    <w:rPr>
      <w:color w:val="FFFFFF" w:themeColor="background1"/>
      <w:shd w:val="clear" w:color="auto" w:fill="EE2B7B"/>
    </w:rPr>
  </w:style>
  <w:style w:type="character" w:customStyle="1" w:styleId="HighlightTextChar">
    <w:name w:val="Highlight Text Char"/>
    <w:basedOn w:val="DefaultParagraphFont"/>
    <w:link w:val="HighlightText"/>
    <w:rsid w:val="00E90888"/>
    <w:rPr>
      <w:rFonts w:ascii="Lato" w:hAnsi="Lato"/>
      <w:color w:val="FFFFFF" w:themeColor="background1"/>
      <w:sz w:val="20"/>
      <w:shd w:val="clear" w:color="auto" w:fill="EE2B7B"/>
    </w:rPr>
  </w:style>
  <w:style w:type="paragraph" w:customStyle="1" w:styleId="Heading2acontentwithoutH2title">
    <w:name w:val="Heading 2a (content without H2 title)"/>
    <w:basedOn w:val="Heading2"/>
    <w:link w:val="Heading2acontentwithoutH2titleChar"/>
    <w:qFormat/>
    <w:rsid w:val="00E90888"/>
    <w:pPr>
      <w:keepNext w:val="0"/>
      <w:ind w:left="7806" w:hanging="576"/>
      <w:jc w:val="both"/>
    </w:pPr>
    <w:rPr>
      <w:b w:val="0"/>
      <w:sz w:val="20"/>
    </w:rPr>
  </w:style>
  <w:style w:type="paragraph" w:customStyle="1" w:styleId="Heading3awhen2aisusedbeforeit">
    <w:name w:val="Heading 3a (when 2a is used before it)"/>
    <w:basedOn w:val="Heading3"/>
    <w:link w:val="Heading3awhen2aisusedbeforeitChar"/>
    <w:qFormat/>
    <w:rsid w:val="00E90888"/>
    <w:pPr>
      <w:keepNext w:val="0"/>
    </w:pPr>
  </w:style>
  <w:style w:type="character" w:customStyle="1" w:styleId="Heading2acontentwithoutH2titleChar">
    <w:name w:val="Heading 2a (content without H2 title) Char"/>
    <w:basedOn w:val="Heading2Char"/>
    <w:link w:val="Heading2acontentwithoutH2title"/>
    <w:rsid w:val="00E90888"/>
    <w:rPr>
      <w:rFonts w:ascii="Lato" w:eastAsiaTheme="majorEastAsia" w:hAnsi="Lato" w:cstheme="majorBidi"/>
      <w:b w:val="0"/>
      <w:color w:val="262626" w:themeColor="text1" w:themeTint="D9"/>
      <w:sz w:val="20"/>
      <w:szCs w:val="26"/>
    </w:rPr>
  </w:style>
  <w:style w:type="character" w:customStyle="1" w:styleId="Heading3awhen2aisusedbeforeitChar">
    <w:name w:val="Heading 3a (when 2a is used before it) Char"/>
    <w:basedOn w:val="Heading3Char"/>
    <w:link w:val="Heading3awhen2aisusedbeforeit"/>
    <w:rsid w:val="00E90888"/>
    <w:rPr>
      <w:rFonts w:ascii="Lato" w:eastAsiaTheme="majorEastAsia" w:hAnsi="Lato" w:cstheme="majorBidi"/>
      <w:color w:val="262626" w:themeColor="text1" w:themeTint="D9"/>
      <w:sz w:val="20"/>
      <w:szCs w:val="24"/>
    </w:rPr>
  </w:style>
  <w:style w:type="paragraph" w:styleId="BalloonText">
    <w:name w:val="Balloon Text"/>
    <w:basedOn w:val="Normal"/>
    <w:link w:val="BalloonTextChar"/>
    <w:uiPriority w:val="99"/>
    <w:semiHidden/>
    <w:unhideWhenUsed/>
    <w:rsid w:val="00D76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2B5"/>
    <w:rPr>
      <w:rFonts w:ascii="Segoe UI" w:hAnsi="Segoe UI" w:cs="Segoe UI"/>
      <w:color w:val="262626" w:themeColor="text1" w:themeTint="D9"/>
      <w:sz w:val="18"/>
      <w:szCs w:val="18"/>
    </w:rPr>
  </w:style>
  <w:style w:type="paragraph" w:styleId="Quote">
    <w:name w:val="Quote"/>
    <w:basedOn w:val="Normal"/>
    <w:next w:val="Normal"/>
    <w:link w:val="QuoteChar"/>
    <w:uiPriority w:val="29"/>
    <w:qFormat/>
    <w:rsid w:val="00FC7E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7E13"/>
    <w:rPr>
      <w:rFonts w:ascii="Lato" w:hAnsi="Lato"/>
      <w:i/>
      <w:iCs/>
      <w:color w:val="404040" w:themeColor="text1" w:themeTint="BF"/>
      <w:sz w:val="20"/>
    </w:rPr>
  </w:style>
  <w:style w:type="paragraph" w:styleId="Header">
    <w:name w:val="header"/>
    <w:basedOn w:val="Normal"/>
    <w:link w:val="HeaderChar"/>
    <w:uiPriority w:val="99"/>
    <w:unhideWhenUsed/>
    <w:rsid w:val="00101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692"/>
    <w:rPr>
      <w:rFonts w:ascii="Lato" w:hAnsi="Lato"/>
      <w:color w:val="262626" w:themeColor="text1" w:themeTint="D9"/>
      <w:sz w:val="20"/>
    </w:rPr>
  </w:style>
  <w:style w:type="paragraph" w:styleId="Footer">
    <w:name w:val="footer"/>
    <w:basedOn w:val="Normal"/>
    <w:link w:val="FooterChar"/>
    <w:uiPriority w:val="99"/>
    <w:unhideWhenUsed/>
    <w:rsid w:val="00101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692"/>
    <w:rPr>
      <w:rFonts w:ascii="Lato" w:hAnsi="Lato"/>
      <w:color w:val="262626" w:themeColor="text1" w:themeTint="D9"/>
      <w:sz w:val="20"/>
    </w:rPr>
  </w:style>
  <w:style w:type="character" w:styleId="IntenseEmphasis">
    <w:name w:val="Intense Emphasis"/>
    <w:aliases w:val="Header Document Title"/>
    <w:basedOn w:val="DefaultParagraphFont"/>
    <w:uiPriority w:val="21"/>
    <w:qFormat/>
    <w:rsid w:val="00101692"/>
    <w:rPr>
      <w:rFonts w:ascii="Lato" w:hAnsi="Lato"/>
      <w:b/>
      <w:i w:val="0"/>
      <w:iCs/>
      <w:color w:val="808080" w:themeColor="background1" w:themeShade="80"/>
      <w:sz w:val="28"/>
    </w:rPr>
  </w:style>
  <w:style w:type="character" w:styleId="PlaceholderText">
    <w:name w:val="Placeholder Text"/>
    <w:basedOn w:val="DefaultParagraphFont"/>
    <w:uiPriority w:val="99"/>
    <w:semiHidden/>
    <w:rsid w:val="00101692"/>
    <w:rPr>
      <w:color w:val="808080"/>
    </w:rPr>
  </w:style>
  <w:style w:type="paragraph" w:styleId="NoSpacing">
    <w:name w:val="No Spacing"/>
    <w:link w:val="NoSpacingChar"/>
    <w:uiPriority w:val="1"/>
    <w:qFormat/>
    <w:rsid w:val="001016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1692"/>
    <w:rPr>
      <w:rFonts w:eastAsiaTheme="minorEastAsia"/>
      <w:lang w:val="en-US"/>
    </w:rPr>
  </w:style>
  <w:style w:type="character" w:styleId="Strong">
    <w:name w:val="Strong"/>
    <w:aliases w:val="Footer text"/>
    <w:basedOn w:val="DefaultParagraphFont"/>
    <w:uiPriority w:val="22"/>
    <w:qFormat/>
    <w:rsid w:val="00101692"/>
    <w:rPr>
      <w:rFonts w:ascii="Lato" w:hAnsi="Lato"/>
      <w:b w:val="0"/>
      <w:bCs/>
      <w:color w:val="808080" w:themeColor="background1" w:themeShade="80"/>
      <w:sz w:val="18"/>
    </w:rPr>
  </w:style>
  <w:style w:type="paragraph" w:styleId="Title">
    <w:name w:val="Title"/>
    <w:basedOn w:val="Normal"/>
    <w:next w:val="Normal"/>
    <w:link w:val="TitleChar"/>
    <w:uiPriority w:val="10"/>
    <w:qFormat/>
    <w:rsid w:val="00F1417D"/>
    <w:pPr>
      <w:spacing w:after="0" w:line="240" w:lineRule="auto"/>
      <w:contextualSpacing/>
    </w:pPr>
    <w:rPr>
      <w:rFonts w:eastAsiaTheme="majorEastAsia" w:cstheme="majorBidi"/>
      <w:color w:val="000000" w:themeColor="text1"/>
      <w:spacing w:val="-10"/>
      <w:kern w:val="28"/>
      <w:sz w:val="48"/>
      <w:szCs w:val="56"/>
    </w:rPr>
  </w:style>
  <w:style w:type="character" w:customStyle="1" w:styleId="TitleChar">
    <w:name w:val="Title Char"/>
    <w:basedOn w:val="DefaultParagraphFont"/>
    <w:link w:val="Title"/>
    <w:uiPriority w:val="10"/>
    <w:rsid w:val="00F1417D"/>
    <w:rPr>
      <w:rFonts w:ascii="Lato" w:eastAsiaTheme="majorEastAsia" w:hAnsi="Lato" w:cstheme="majorBidi"/>
      <w:color w:val="000000" w:themeColor="text1"/>
      <w:spacing w:val="-10"/>
      <w:kern w:val="28"/>
      <w:sz w:val="48"/>
      <w:szCs w:val="56"/>
    </w:rPr>
  </w:style>
  <w:style w:type="character" w:customStyle="1" w:styleId="SubtitleChar">
    <w:name w:val="Subtitle Char"/>
    <w:aliases w:val="Front Page Titles (to Delete) Char"/>
    <w:basedOn w:val="DefaultParagraphFont"/>
    <w:link w:val="Subtitle"/>
    <w:locked/>
    <w:rsid w:val="00F1417D"/>
    <w:rPr>
      <w:rFonts w:ascii="Lato" w:eastAsiaTheme="minorEastAsia" w:hAnsi="Lato" w:cstheme="majorBidi"/>
      <w:color w:val="EE2B7B"/>
      <w:sz w:val="32"/>
      <w:szCs w:val="32"/>
    </w:rPr>
  </w:style>
  <w:style w:type="paragraph" w:styleId="Subtitle">
    <w:name w:val="Subtitle"/>
    <w:aliases w:val="Front Page Titles (to Delete)"/>
    <w:next w:val="Normal"/>
    <w:link w:val="SubtitleChar"/>
    <w:qFormat/>
    <w:rsid w:val="00F1417D"/>
    <w:pPr>
      <w:spacing w:line="256" w:lineRule="auto"/>
    </w:pPr>
    <w:rPr>
      <w:rFonts w:ascii="Lato" w:eastAsiaTheme="minorEastAsia" w:hAnsi="Lato" w:cstheme="majorBidi"/>
      <w:color w:val="EE2B7B"/>
      <w:sz w:val="32"/>
      <w:szCs w:val="32"/>
    </w:rPr>
  </w:style>
  <w:style w:type="character" w:customStyle="1" w:styleId="SubtitleChar1">
    <w:name w:val="Subtitle Char1"/>
    <w:basedOn w:val="DefaultParagraphFont"/>
    <w:uiPriority w:val="11"/>
    <w:rsid w:val="00F1417D"/>
    <w:rPr>
      <w:rFonts w:eastAsiaTheme="minorEastAsia"/>
      <w:color w:val="5A5A5A" w:themeColor="text1" w:themeTint="A5"/>
      <w:spacing w:val="15"/>
    </w:rPr>
  </w:style>
  <w:style w:type="paragraph" w:customStyle="1" w:styleId="MentorText">
    <w:name w:val="Mentor_Text"/>
    <w:basedOn w:val="Normal"/>
    <w:rsid w:val="0042625B"/>
    <w:pPr>
      <w:keepLines/>
      <w:tabs>
        <w:tab w:val="left" w:pos="0"/>
      </w:tabs>
      <w:spacing w:before="120" w:after="0" w:line="240" w:lineRule="auto"/>
    </w:pPr>
    <w:rPr>
      <w:rFonts w:ascii="Arial" w:eastAsia="Times New Roman" w:hAnsi="Arial" w:cs="Times New Roman"/>
      <w:color w:val="auto"/>
      <w:sz w:val="22"/>
      <w:lang w:eastAsia="en-GB"/>
    </w:rPr>
  </w:style>
  <w:style w:type="paragraph" w:customStyle="1" w:styleId="MentorHeading4">
    <w:name w:val="Mentor_Heading_4"/>
    <w:basedOn w:val="Normal"/>
    <w:next w:val="MentorText"/>
    <w:autoRedefine/>
    <w:rsid w:val="00467E8E"/>
    <w:pPr>
      <w:keepNext/>
      <w:tabs>
        <w:tab w:val="left" w:pos="0"/>
      </w:tabs>
      <w:spacing w:before="240" w:after="120" w:line="240" w:lineRule="auto"/>
      <w:jc w:val="left"/>
    </w:pPr>
    <w:rPr>
      <w:rFonts w:ascii="Arial" w:eastAsia="Times New Roman" w:hAnsi="Arial" w:cs="Times New Roman"/>
      <w:color w:val="auto"/>
      <w:sz w:val="22"/>
      <w:u w:val="single"/>
      <w:lang w:eastAsia="en-GB"/>
    </w:rPr>
  </w:style>
  <w:style w:type="paragraph" w:customStyle="1" w:styleId="MentorHeading1">
    <w:name w:val="Mentor_Heading_1"/>
    <w:basedOn w:val="Normal"/>
    <w:next w:val="MentorText"/>
    <w:autoRedefine/>
    <w:rsid w:val="00467E8E"/>
    <w:pPr>
      <w:keepNext/>
      <w:tabs>
        <w:tab w:val="left" w:pos="0"/>
      </w:tabs>
      <w:spacing w:before="240" w:after="120" w:line="240" w:lineRule="auto"/>
      <w:jc w:val="left"/>
    </w:pPr>
    <w:rPr>
      <w:rFonts w:ascii="Arial" w:eastAsia="Times New Roman" w:hAnsi="Arial" w:cs="Times New Roman"/>
      <w:b/>
      <w:color w:val="auto"/>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811">
      <w:bodyDiv w:val="1"/>
      <w:marLeft w:val="0"/>
      <w:marRight w:val="0"/>
      <w:marTop w:val="0"/>
      <w:marBottom w:val="0"/>
      <w:divBdr>
        <w:top w:val="none" w:sz="0" w:space="0" w:color="auto"/>
        <w:left w:val="none" w:sz="0" w:space="0" w:color="auto"/>
        <w:bottom w:val="none" w:sz="0" w:space="0" w:color="auto"/>
        <w:right w:val="none" w:sz="0" w:space="0" w:color="auto"/>
      </w:divBdr>
    </w:div>
    <w:div w:id="7488157">
      <w:bodyDiv w:val="1"/>
      <w:marLeft w:val="0"/>
      <w:marRight w:val="0"/>
      <w:marTop w:val="0"/>
      <w:marBottom w:val="0"/>
      <w:divBdr>
        <w:top w:val="none" w:sz="0" w:space="0" w:color="auto"/>
        <w:left w:val="none" w:sz="0" w:space="0" w:color="auto"/>
        <w:bottom w:val="none" w:sz="0" w:space="0" w:color="auto"/>
        <w:right w:val="none" w:sz="0" w:space="0" w:color="auto"/>
      </w:divBdr>
    </w:div>
    <w:div w:id="40402306">
      <w:bodyDiv w:val="1"/>
      <w:marLeft w:val="0"/>
      <w:marRight w:val="0"/>
      <w:marTop w:val="0"/>
      <w:marBottom w:val="0"/>
      <w:divBdr>
        <w:top w:val="none" w:sz="0" w:space="0" w:color="auto"/>
        <w:left w:val="none" w:sz="0" w:space="0" w:color="auto"/>
        <w:bottom w:val="none" w:sz="0" w:space="0" w:color="auto"/>
        <w:right w:val="none" w:sz="0" w:space="0" w:color="auto"/>
      </w:divBdr>
    </w:div>
    <w:div w:id="41053222">
      <w:bodyDiv w:val="1"/>
      <w:marLeft w:val="0"/>
      <w:marRight w:val="0"/>
      <w:marTop w:val="0"/>
      <w:marBottom w:val="0"/>
      <w:divBdr>
        <w:top w:val="none" w:sz="0" w:space="0" w:color="auto"/>
        <w:left w:val="none" w:sz="0" w:space="0" w:color="auto"/>
        <w:bottom w:val="none" w:sz="0" w:space="0" w:color="auto"/>
        <w:right w:val="none" w:sz="0" w:space="0" w:color="auto"/>
      </w:divBdr>
    </w:div>
    <w:div w:id="91249026">
      <w:bodyDiv w:val="1"/>
      <w:marLeft w:val="0"/>
      <w:marRight w:val="0"/>
      <w:marTop w:val="0"/>
      <w:marBottom w:val="0"/>
      <w:divBdr>
        <w:top w:val="none" w:sz="0" w:space="0" w:color="auto"/>
        <w:left w:val="none" w:sz="0" w:space="0" w:color="auto"/>
        <w:bottom w:val="none" w:sz="0" w:space="0" w:color="auto"/>
        <w:right w:val="none" w:sz="0" w:space="0" w:color="auto"/>
      </w:divBdr>
    </w:div>
    <w:div w:id="113906800">
      <w:bodyDiv w:val="1"/>
      <w:marLeft w:val="0"/>
      <w:marRight w:val="0"/>
      <w:marTop w:val="0"/>
      <w:marBottom w:val="0"/>
      <w:divBdr>
        <w:top w:val="none" w:sz="0" w:space="0" w:color="auto"/>
        <w:left w:val="none" w:sz="0" w:space="0" w:color="auto"/>
        <w:bottom w:val="none" w:sz="0" w:space="0" w:color="auto"/>
        <w:right w:val="none" w:sz="0" w:space="0" w:color="auto"/>
      </w:divBdr>
    </w:div>
    <w:div w:id="131099248">
      <w:bodyDiv w:val="1"/>
      <w:marLeft w:val="0"/>
      <w:marRight w:val="0"/>
      <w:marTop w:val="0"/>
      <w:marBottom w:val="0"/>
      <w:divBdr>
        <w:top w:val="none" w:sz="0" w:space="0" w:color="auto"/>
        <w:left w:val="none" w:sz="0" w:space="0" w:color="auto"/>
        <w:bottom w:val="none" w:sz="0" w:space="0" w:color="auto"/>
        <w:right w:val="none" w:sz="0" w:space="0" w:color="auto"/>
      </w:divBdr>
    </w:div>
    <w:div w:id="187643343">
      <w:bodyDiv w:val="1"/>
      <w:marLeft w:val="0"/>
      <w:marRight w:val="0"/>
      <w:marTop w:val="0"/>
      <w:marBottom w:val="0"/>
      <w:divBdr>
        <w:top w:val="none" w:sz="0" w:space="0" w:color="auto"/>
        <w:left w:val="none" w:sz="0" w:space="0" w:color="auto"/>
        <w:bottom w:val="none" w:sz="0" w:space="0" w:color="auto"/>
        <w:right w:val="none" w:sz="0" w:space="0" w:color="auto"/>
      </w:divBdr>
    </w:div>
    <w:div w:id="191112641">
      <w:bodyDiv w:val="1"/>
      <w:marLeft w:val="0"/>
      <w:marRight w:val="0"/>
      <w:marTop w:val="0"/>
      <w:marBottom w:val="0"/>
      <w:divBdr>
        <w:top w:val="none" w:sz="0" w:space="0" w:color="auto"/>
        <w:left w:val="none" w:sz="0" w:space="0" w:color="auto"/>
        <w:bottom w:val="none" w:sz="0" w:space="0" w:color="auto"/>
        <w:right w:val="none" w:sz="0" w:space="0" w:color="auto"/>
      </w:divBdr>
    </w:div>
    <w:div w:id="214893221">
      <w:bodyDiv w:val="1"/>
      <w:marLeft w:val="0"/>
      <w:marRight w:val="0"/>
      <w:marTop w:val="0"/>
      <w:marBottom w:val="0"/>
      <w:divBdr>
        <w:top w:val="none" w:sz="0" w:space="0" w:color="auto"/>
        <w:left w:val="none" w:sz="0" w:space="0" w:color="auto"/>
        <w:bottom w:val="none" w:sz="0" w:space="0" w:color="auto"/>
        <w:right w:val="none" w:sz="0" w:space="0" w:color="auto"/>
      </w:divBdr>
    </w:div>
    <w:div w:id="290402041">
      <w:bodyDiv w:val="1"/>
      <w:marLeft w:val="0"/>
      <w:marRight w:val="0"/>
      <w:marTop w:val="0"/>
      <w:marBottom w:val="0"/>
      <w:divBdr>
        <w:top w:val="none" w:sz="0" w:space="0" w:color="auto"/>
        <w:left w:val="none" w:sz="0" w:space="0" w:color="auto"/>
        <w:bottom w:val="none" w:sz="0" w:space="0" w:color="auto"/>
        <w:right w:val="none" w:sz="0" w:space="0" w:color="auto"/>
      </w:divBdr>
    </w:div>
    <w:div w:id="356859091">
      <w:bodyDiv w:val="1"/>
      <w:marLeft w:val="0"/>
      <w:marRight w:val="0"/>
      <w:marTop w:val="0"/>
      <w:marBottom w:val="0"/>
      <w:divBdr>
        <w:top w:val="none" w:sz="0" w:space="0" w:color="auto"/>
        <w:left w:val="none" w:sz="0" w:space="0" w:color="auto"/>
        <w:bottom w:val="none" w:sz="0" w:space="0" w:color="auto"/>
        <w:right w:val="none" w:sz="0" w:space="0" w:color="auto"/>
      </w:divBdr>
    </w:div>
    <w:div w:id="360013502">
      <w:bodyDiv w:val="1"/>
      <w:marLeft w:val="0"/>
      <w:marRight w:val="0"/>
      <w:marTop w:val="0"/>
      <w:marBottom w:val="0"/>
      <w:divBdr>
        <w:top w:val="none" w:sz="0" w:space="0" w:color="auto"/>
        <w:left w:val="none" w:sz="0" w:space="0" w:color="auto"/>
        <w:bottom w:val="none" w:sz="0" w:space="0" w:color="auto"/>
        <w:right w:val="none" w:sz="0" w:space="0" w:color="auto"/>
      </w:divBdr>
    </w:div>
    <w:div w:id="367802869">
      <w:bodyDiv w:val="1"/>
      <w:marLeft w:val="0"/>
      <w:marRight w:val="0"/>
      <w:marTop w:val="0"/>
      <w:marBottom w:val="0"/>
      <w:divBdr>
        <w:top w:val="none" w:sz="0" w:space="0" w:color="auto"/>
        <w:left w:val="none" w:sz="0" w:space="0" w:color="auto"/>
        <w:bottom w:val="none" w:sz="0" w:space="0" w:color="auto"/>
        <w:right w:val="none" w:sz="0" w:space="0" w:color="auto"/>
      </w:divBdr>
    </w:div>
    <w:div w:id="375084537">
      <w:bodyDiv w:val="1"/>
      <w:marLeft w:val="0"/>
      <w:marRight w:val="0"/>
      <w:marTop w:val="0"/>
      <w:marBottom w:val="0"/>
      <w:divBdr>
        <w:top w:val="none" w:sz="0" w:space="0" w:color="auto"/>
        <w:left w:val="none" w:sz="0" w:space="0" w:color="auto"/>
        <w:bottom w:val="none" w:sz="0" w:space="0" w:color="auto"/>
        <w:right w:val="none" w:sz="0" w:space="0" w:color="auto"/>
      </w:divBdr>
    </w:div>
    <w:div w:id="419563904">
      <w:bodyDiv w:val="1"/>
      <w:marLeft w:val="0"/>
      <w:marRight w:val="0"/>
      <w:marTop w:val="0"/>
      <w:marBottom w:val="0"/>
      <w:divBdr>
        <w:top w:val="none" w:sz="0" w:space="0" w:color="auto"/>
        <w:left w:val="none" w:sz="0" w:space="0" w:color="auto"/>
        <w:bottom w:val="none" w:sz="0" w:space="0" w:color="auto"/>
        <w:right w:val="none" w:sz="0" w:space="0" w:color="auto"/>
      </w:divBdr>
    </w:div>
    <w:div w:id="423844664">
      <w:bodyDiv w:val="1"/>
      <w:marLeft w:val="0"/>
      <w:marRight w:val="0"/>
      <w:marTop w:val="0"/>
      <w:marBottom w:val="0"/>
      <w:divBdr>
        <w:top w:val="none" w:sz="0" w:space="0" w:color="auto"/>
        <w:left w:val="none" w:sz="0" w:space="0" w:color="auto"/>
        <w:bottom w:val="none" w:sz="0" w:space="0" w:color="auto"/>
        <w:right w:val="none" w:sz="0" w:space="0" w:color="auto"/>
      </w:divBdr>
    </w:div>
    <w:div w:id="424614550">
      <w:bodyDiv w:val="1"/>
      <w:marLeft w:val="0"/>
      <w:marRight w:val="0"/>
      <w:marTop w:val="0"/>
      <w:marBottom w:val="0"/>
      <w:divBdr>
        <w:top w:val="none" w:sz="0" w:space="0" w:color="auto"/>
        <w:left w:val="none" w:sz="0" w:space="0" w:color="auto"/>
        <w:bottom w:val="none" w:sz="0" w:space="0" w:color="auto"/>
        <w:right w:val="none" w:sz="0" w:space="0" w:color="auto"/>
      </w:divBdr>
    </w:div>
    <w:div w:id="490564345">
      <w:bodyDiv w:val="1"/>
      <w:marLeft w:val="0"/>
      <w:marRight w:val="0"/>
      <w:marTop w:val="0"/>
      <w:marBottom w:val="0"/>
      <w:divBdr>
        <w:top w:val="none" w:sz="0" w:space="0" w:color="auto"/>
        <w:left w:val="none" w:sz="0" w:space="0" w:color="auto"/>
        <w:bottom w:val="none" w:sz="0" w:space="0" w:color="auto"/>
        <w:right w:val="none" w:sz="0" w:space="0" w:color="auto"/>
      </w:divBdr>
    </w:div>
    <w:div w:id="498891721">
      <w:bodyDiv w:val="1"/>
      <w:marLeft w:val="0"/>
      <w:marRight w:val="0"/>
      <w:marTop w:val="0"/>
      <w:marBottom w:val="0"/>
      <w:divBdr>
        <w:top w:val="none" w:sz="0" w:space="0" w:color="auto"/>
        <w:left w:val="none" w:sz="0" w:space="0" w:color="auto"/>
        <w:bottom w:val="none" w:sz="0" w:space="0" w:color="auto"/>
        <w:right w:val="none" w:sz="0" w:space="0" w:color="auto"/>
      </w:divBdr>
    </w:div>
    <w:div w:id="518616427">
      <w:bodyDiv w:val="1"/>
      <w:marLeft w:val="0"/>
      <w:marRight w:val="0"/>
      <w:marTop w:val="0"/>
      <w:marBottom w:val="0"/>
      <w:divBdr>
        <w:top w:val="none" w:sz="0" w:space="0" w:color="auto"/>
        <w:left w:val="none" w:sz="0" w:space="0" w:color="auto"/>
        <w:bottom w:val="none" w:sz="0" w:space="0" w:color="auto"/>
        <w:right w:val="none" w:sz="0" w:space="0" w:color="auto"/>
      </w:divBdr>
    </w:div>
    <w:div w:id="544290990">
      <w:bodyDiv w:val="1"/>
      <w:marLeft w:val="0"/>
      <w:marRight w:val="0"/>
      <w:marTop w:val="0"/>
      <w:marBottom w:val="0"/>
      <w:divBdr>
        <w:top w:val="none" w:sz="0" w:space="0" w:color="auto"/>
        <w:left w:val="none" w:sz="0" w:space="0" w:color="auto"/>
        <w:bottom w:val="none" w:sz="0" w:space="0" w:color="auto"/>
        <w:right w:val="none" w:sz="0" w:space="0" w:color="auto"/>
      </w:divBdr>
    </w:div>
    <w:div w:id="605231991">
      <w:bodyDiv w:val="1"/>
      <w:marLeft w:val="0"/>
      <w:marRight w:val="0"/>
      <w:marTop w:val="0"/>
      <w:marBottom w:val="0"/>
      <w:divBdr>
        <w:top w:val="none" w:sz="0" w:space="0" w:color="auto"/>
        <w:left w:val="none" w:sz="0" w:space="0" w:color="auto"/>
        <w:bottom w:val="none" w:sz="0" w:space="0" w:color="auto"/>
        <w:right w:val="none" w:sz="0" w:space="0" w:color="auto"/>
      </w:divBdr>
    </w:div>
    <w:div w:id="641227504">
      <w:bodyDiv w:val="1"/>
      <w:marLeft w:val="0"/>
      <w:marRight w:val="0"/>
      <w:marTop w:val="0"/>
      <w:marBottom w:val="0"/>
      <w:divBdr>
        <w:top w:val="none" w:sz="0" w:space="0" w:color="auto"/>
        <w:left w:val="none" w:sz="0" w:space="0" w:color="auto"/>
        <w:bottom w:val="none" w:sz="0" w:space="0" w:color="auto"/>
        <w:right w:val="none" w:sz="0" w:space="0" w:color="auto"/>
      </w:divBdr>
    </w:div>
    <w:div w:id="658387837">
      <w:bodyDiv w:val="1"/>
      <w:marLeft w:val="0"/>
      <w:marRight w:val="0"/>
      <w:marTop w:val="0"/>
      <w:marBottom w:val="0"/>
      <w:divBdr>
        <w:top w:val="none" w:sz="0" w:space="0" w:color="auto"/>
        <w:left w:val="none" w:sz="0" w:space="0" w:color="auto"/>
        <w:bottom w:val="none" w:sz="0" w:space="0" w:color="auto"/>
        <w:right w:val="none" w:sz="0" w:space="0" w:color="auto"/>
      </w:divBdr>
    </w:div>
    <w:div w:id="725956182">
      <w:bodyDiv w:val="1"/>
      <w:marLeft w:val="0"/>
      <w:marRight w:val="0"/>
      <w:marTop w:val="0"/>
      <w:marBottom w:val="0"/>
      <w:divBdr>
        <w:top w:val="none" w:sz="0" w:space="0" w:color="auto"/>
        <w:left w:val="none" w:sz="0" w:space="0" w:color="auto"/>
        <w:bottom w:val="none" w:sz="0" w:space="0" w:color="auto"/>
        <w:right w:val="none" w:sz="0" w:space="0" w:color="auto"/>
      </w:divBdr>
    </w:div>
    <w:div w:id="742989515">
      <w:bodyDiv w:val="1"/>
      <w:marLeft w:val="0"/>
      <w:marRight w:val="0"/>
      <w:marTop w:val="0"/>
      <w:marBottom w:val="0"/>
      <w:divBdr>
        <w:top w:val="none" w:sz="0" w:space="0" w:color="auto"/>
        <w:left w:val="none" w:sz="0" w:space="0" w:color="auto"/>
        <w:bottom w:val="none" w:sz="0" w:space="0" w:color="auto"/>
        <w:right w:val="none" w:sz="0" w:space="0" w:color="auto"/>
      </w:divBdr>
    </w:div>
    <w:div w:id="782188583">
      <w:bodyDiv w:val="1"/>
      <w:marLeft w:val="0"/>
      <w:marRight w:val="0"/>
      <w:marTop w:val="0"/>
      <w:marBottom w:val="0"/>
      <w:divBdr>
        <w:top w:val="none" w:sz="0" w:space="0" w:color="auto"/>
        <w:left w:val="none" w:sz="0" w:space="0" w:color="auto"/>
        <w:bottom w:val="none" w:sz="0" w:space="0" w:color="auto"/>
        <w:right w:val="none" w:sz="0" w:space="0" w:color="auto"/>
      </w:divBdr>
    </w:div>
    <w:div w:id="789474938">
      <w:bodyDiv w:val="1"/>
      <w:marLeft w:val="0"/>
      <w:marRight w:val="0"/>
      <w:marTop w:val="0"/>
      <w:marBottom w:val="0"/>
      <w:divBdr>
        <w:top w:val="none" w:sz="0" w:space="0" w:color="auto"/>
        <w:left w:val="none" w:sz="0" w:space="0" w:color="auto"/>
        <w:bottom w:val="none" w:sz="0" w:space="0" w:color="auto"/>
        <w:right w:val="none" w:sz="0" w:space="0" w:color="auto"/>
      </w:divBdr>
    </w:div>
    <w:div w:id="808518913">
      <w:bodyDiv w:val="1"/>
      <w:marLeft w:val="0"/>
      <w:marRight w:val="0"/>
      <w:marTop w:val="0"/>
      <w:marBottom w:val="0"/>
      <w:divBdr>
        <w:top w:val="none" w:sz="0" w:space="0" w:color="auto"/>
        <w:left w:val="none" w:sz="0" w:space="0" w:color="auto"/>
        <w:bottom w:val="none" w:sz="0" w:space="0" w:color="auto"/>
        <w:right w:val="none" w:sz="0" w:space="0" w:color="auto"/>
      </w:divBdr>
    </w:div>
    <w:div w:id="887569116">
      <w:bodyDiv w:val="1"/>
      <w:marLeft w:val="0"/>
      <w:marRight w:val="0"/>
      <w:marTop w:val="0"/>
      <w:marBottom w:val="0"/>
      <w:divBdr>
        <w:top w:val="none" w:sz="0" w:space="0" w:color="auto"/>
        <w:left w:val="none" w:sz="0" w:space="0" w:color="auto"/>
        <w:bottom w:val="none" w:sz="0" w:space="0" w:color="auto"/>
        <w:right w:val="none" w:sz="0" w:space="0" w:color="auto"/>
      </w:divBdr>
    </w:div>
    <w:div w:id="902787531">
      <w:bodyDiv w:val="1"/>
      <w:marLeft w:val="0"/>
      <w:marRight w:val="0"/>
      <w:marTop w:val="0"/>
      <w:marBottom w:val="0"/>
      <w:divBdr>
        <w:top w:val="none" w:sz="0" w:space="0" w:color="auto"/>
        <w:left w:val="none" w:sz="0" w:space="0" w:color="auto"/>
        <w:bottom w:val="none" w:sz="0" w:space="0" w:color="auto"/>
        <w:right w:val="none" w:sz="0" w:space="0" w:color="auto"/>
      </w:divBdr>
    </w:div>
    <w:div w:id="924219873">
      <w:bodyDiv w:val="1"/>
      <w:marLeft w:val="0"/>
      <w:marRight w:val="0"/>
      <w:marTop w:val="0"/>
      <w:marBottom w:val="0"/>
      <w:divBdr>
        <w:top w:val="none" w:sz="0" w:space="0" w:color="auto"/>
        <w:left w:val="none" w:sz="0" w:space="0" w:color="auto"/>
        <w:bottom w:val="none" w:sz="0" w:space="0" w:color="auto"/>
        <w:right w:val="none" w:sz="0" w:space="0" w:color="auto"/>
      </w:divBdr>
    </w:div>
    <w:div w:id="935408152">
      <w:bodyDiv w:val="1"/>
      <w:marLeft w:val="0"/>
      <w:marRight w:val="0"/>
      <w:marTop w:val="0"/>
      <w:marBottom w:val="0"/>
      <w:divBdr>
        <w:top w:val="none" w:sz="0" w:space="0" w:color="auto"/>
        <w:left w:val="none" w:sz="0" w:space="0" w:color="auto"/>
        <w:bottom w:val="none" w:sz="0" w:space="0" w:color="auto"/>
        <w:right w:val="none" w:sz="0" w:space="0" w:color="auto"/>
      </w:divBdr>
    </w:div>
    <w:div w:id="939991354">
      <w:bodyDiv w:val="1"/>
      <w:marLeft w:val="0"/>
      <w:marRight w:val="0"/>
      <w:marTop w:val="0"/>
      <w:marBottom w:val="0"/>
      <w:divBdr>
        <w:top w:val="none" w:sz="0" w:space="0" w:color="auto"/>
        <w:left w:val="none" w:sz="0" w:space="0" w:color="auto"/>
        <w:bottom w:val="none" w:sz="0" w:space="0" w:color="auto"/>
        <w:right w:val="none" w:sz="0" w:space="0" w:color="auto"/>
      </w:divBdr>
    </w:div>
    <w:div w:id="967129120">
      <w:bodyDiv w:val="1"/>
      <w:marLeft w:val="0"/>
      <w:marRight w:val="0"/>
      <w:marTop w:val="0"/>
      <w:marBottom w:val="0"/>
      <w:divBdr>
        <w:top w:val="none" w:sz="0" w:space="0" w:color="auto"/>
        <w:left w:val="none" w:sz="0" w:space="0" w:color="auto"/>
        <w:bottom w:val="none" w:sz="0" w:space="0" w:color="auto"/>
        <w:right w:val="none" w:sz="0" w:space="0" w:color="auto"/>
      </w:divBdr>
    </w:div>
    <w:div w:id="1016998794">
      <w:bodyDiv w:val="1"/>
      <w:marLeft w:val="0"/>
      <w:marRight w:val="0"/>
      <w:marTop w:val="0"/>
      <w:marBottom w:val="0"/>
      <w:divBdr>
        <w:top w:val="none" w:sz="0" w:space="0" w:color="auto"/>
        <w:left w:val="none" w:sz="0" w:space="0" w:color="auto"/>
        <w:bottom w:val="none" w:sz="0" w:space="0" w:color="auto"/>
        <w:right w:val="none" w:sz="0" w:space="0" w:color="auto"/>
      </w:divBdr>
    </w:div>
    <w:div w:id="1107118561">
      <w:bodyDiv w:val="1"/>
      <w:marLeft w:val="0"/>
      <w:marRight w:val="0"/>
      <w:marTop w:val="0"/>
      <w:marBottom w:val="0"/>
      <w:divBdr>
        <w:top w:val="none" w:sz="0" w:space="0" w:color="auto"/>
        <w:left w:val="none" w:sz="0" w:space="0" w:color="auto"/>
        <w:bottom w:val="none" w:sz="0" w:space="0" w:color="auto"/>
        <w:right w:val="none" w:sz="0" w:space="0" w:color="auto"/>
      </w:divBdr>
    </w:div>
    <w:div w:id="1196042740">
      <w:bodyDiv w:val="1"/>
      <w:marLeft w:val="0"/>
      <w:marRight w:val="0"/>
      <w:marTop w:val="0"/>
      <w:marBottom w:val="0"/>
      <w:divBdr>
        <w:top w:val="none" w:sz="0" w:space="0" w:color="auto"/>
        <w:left w:val="none" w:sz="0" w:space="0" w:color="auto"/>
        <w:bottom w:val="none" w:sz="0" w:space="0" w:color="auto"/>
        <w:right w:val="none" w:sz="0" w:space="0" w:color="auto"/>
      </w:divBdr>
    </w:div>
    <w:div w:id="1201624630">
      <w:bodyDiv w:val="1"/>
      <w:marLeft w:val="0"/>
      <w:marRight w:val="0"/>
      <w:marTop w:val="0"/>
      <w:marBottom w:val="0"/>
      <w:divBdr>
        <w:top w:val="none" w:sz="0" w:space="0" w:color="auto"/>
        <w:left w:val="none" w:sz="0" w:space="0" w:color="auto"/>
        <w:bottom w:val="none" w:sz="0" w:space="0" w:color="auto"/>
        <w:right w:val="none" w:sz="0" w:space="0" w:color="auto"/>
      </w:divBdr>
    </w:div>
    <w:div w:id="1207446008">
      <w:bodyDiv w:val="1"/>
      <w:marLeft w:val="0"/>
      <w:marRight w:val="0"/>
      <w:marTop w:val="0"/>
      <w:marBottom w:val="0"/>
      <w:divBdr>
        <w:top w:val="none" w:sz="0" w:space="0" w:color="auto"/>
        <w:left w:val="none" w:sz="0" w:space="0" w:color="auto"/>
        <w:bottom w:val="none" w:sz="0" w:space="0" w:color="auto"/>
        <w:right w:val="none" w:sz="0" w:space="0" w:color="auto"/>
      </w:divBdr>
    </w:div>
    <w:div w:id="1328824213">
      <w:bodyDiv w:val="1"/>
      <w:marLeft w:val="0"/>
      <w:marRight w:val="0"/>
      <w:marTop w:val="0"/>
      <w:marBottom w:val="0"/>
      <w:divBdr>
        <w:top w:val="none" w:sz="0" w:space="0" w:color="auto"/>
        <w:left w:val="none" w:sz="0" w:space="0" w:color="auto"/>
        <w:bottom w:val="none" w:sz="0" w:space="0" w:color="auto"/>
        <w:right w:val="none" w:sz="0" w:space="0" w:color="auto"/>
      </w:divBdr>
    </w:div>
    <w:div w:id="1331526519">
      <w:bodyDiv w:val="1"/>
      <w:marLeft w:val="0"/>
      <w:marRight w:val="0"/>
      <w:marTop w:val="0"/>
      <w:marBottom w:val="0"/>
      <w:divBdr>
        <w:top w:val="none" w:sz="0" w:space="0" w:color="auto"/>
        <w:left w:val="none" w:sz="0" w:space="0" w:color="auto"/>
        <w:bottom w:val="none" w:sz="0" w:space="0" w:color="auto"/>
        <w:right w:val="none" w:sz="0" w:space="0" w:color="auto"/>
      </w:divBdr>
    </w:div>
    <w:div w:id="1338270860">
      <w:bodyDiv w:val="1"/>
      <w:marLeft w:val="0"/>
      <w:marRight w:val="0"/>
      <w:marTop w:val="0"/>
      <w:marBottom w:val="0"/>
      <w:divBdr>
        <w:top w:val="none" w:sz="0" w:space="0" w:color="auto"/>
        <w:left w:val="none" w:sz="0" w:space="0" w:color="auto"/>
        <w:bottom w:val="none" w:sz="0" w:space="0" w:color="auto"/>
        <w:right w:val="none" w:sz="0" w:space="0" w:color="auto"/>
      </w:divBdr>
    </w:div>
    <w:div w:id="1351223832">
      <w:bodyDiv w:val="1"/>
      <w:marLeft w:val="0"/>
      <w:marRight w:val="0"/>
      <w:marTop w:val="0"/>
      <w:marBottom w:val="0"/>
      <w:divBdr>
        <w:top w:val="none" w:sz="0" w:space="0" w:color="auto"/>
        <w:left w:val="none" w:sz="0" w:space="0" w:color="auto"/>
        <w:bottom w:val="none" w:sz="0" w:space="0" w:color="auto"/>
        <w:right w:val="none" w:sz="0" w:space="0" w:color="auto"/>
      </w:divBdr>
    </w:div>
    <w:div w:id="1503008080">
      <w:bodyDiv w:val="1"/>
      <w:marLeft w:val="0"/>
      <w:marRight w:val="0"/>
      <w:marTop w:val="0"/>
      <w:marBottom w:val="0"/>
      <w:divBdr>
        <w:top w:val="none" w:sz="0" w:space="0" w:color="auto"/>
        <w:left w:val="none" w:sz="0" w:space="0" w:color="auto"/>
        <w:bottom w:val="none" w:sz="0" w:space="0" w:color="auto"/>
        <w:right w:val="none" w:sz="0" w:space="0" w:color="auto"/>
      </w:divBdr>
    </w:div>
    <w:div w:id="1504709979">
      <w:bodyDiv w:val="1"/>
      <w:marLeft w:val="0"/>
      <w:marRight w:val="0"/>
      <w:marTop w:val="0"/>
      <w:marBottom w:val="0"/>
      <w:divBdr>
        <w:top w:val="none" w:sz="0" w:space="0" w:color="auto"/>
        <w:left w:val="none" w:sz="0" w:space="0" w:color="auto"/>
        <w:bottom w:val="none" w:sz="0" w:space="0" w:color="auto"/>
        <w:right w:val="none" w:sz="0" w:space="0" w:color="auto"/>
      </w:divBdr>
    </w:div>
    <w:div w:id="1553346147">
      <w:bodyDiv w:val="1"/>
      <w:marLeft w:val="0"/>
      <w:marRight w:val="0"/>
      <w:marTop w:val="0"/>
      <w:marBottom w:val="0"/>
      <w:divBdr>
        <w:top w:val="none" w:sz="0" w:space="0" w:color="auto"/>
        <w:left w:val="none" w:sz="0" w:space="0" w:color="auto"/>
        <w:bottom w:val="none" w:sz="0" w:space="0" w:color="auto"/>
        <w:right w:val="none" w:sz="0" w:space="0" w:color="auto"/>
      </w:divBdr>
    </w:div>
    <w:div w:id="1601186132">
      <w:bodyDiv w:val="1"/>
      <w:marLeft w:val="0"/>
      <w:marRight w:val="0"/>
      <w:marTop w:val="0"/>
      <w:marBottom w:val="0"/>
      <w:divBdr>
        <w:top w:val="none" w:sz="0" w:space="0" w:color="auto"/>
        <w:left w:val="none" w:sz="0" w:space="0" w:color="auto"/>
        <w:bottom w:val="none" w:sz="0" w:space="0" w:color="auto"/>
        <w:right w:val="none" w:sz="0" w:space="0" w:color="auto"/>
      </w:divBdr>
    </w:div>
    <w:div w:id="1758599324">
      <w:bodyDiv w:val="1"/>
      <w:marLeft w:val="0"/>
      <w:marRight w:val="0"/>
      <w:marTop w:val="0"/>
      <w:marBottom w:val="0"/>
      <w:divBdr>
        <w:top w:val="none" w:sz="0" w:space="0" w:color="auto"/>
        <w:left w:val="none" w:sz="0" w:space="0" w:color="auto"/>
        <w:bottom w:val="none" w:sz="0" w:space="0" w:color="auto"/>
        <w:right w:val="none" w:sz="0" w:space="0" w:color="auto"/>
      </w:divBdr>
    </w:div>
    <w:div w:id="1775399911">
      <w:bodyDiv w:val="1"/>
      <w:marLeft w:val="0"/>
      <w:marRight w:val="0"/>
      <w:marTop w:val="0"/>
      <w:marBottom w:val="0"/>
      <w:divBdr>
        <w:top w:val="none" w:sz="0" w:space="0" w:color="auto"/>
        <w:left w:val="none" w:sz="0" w:space="0" w:color="auto"/>
        <w:bottom w:val="none" w:sz="0" w:space="0" w:color="auto"/>
        <w:right w:val="none" w:sz="0" w:space="0" w:color="auto"/>
      </w:divBdr>
    </w:div>
    <w:div w:id="1783567555">
      <w:bodyDiv w:val="1"/>
      <w:marLeft w:val="0"/>
      <w:marRight w:val="0"/>
      <w:marTop w:val="0"/>
      <w:marBottom w:val="0"/>
      <w:divBdr>
        <w:top w:val="none" w:sz="0" w:space="0" w:color="auto"/>
        <w:left w:val="none" w:sz="0" w:space="0" w:color="auto"/>
        <w:bottom w:val="none" w:sz="0" w:space="0" w:color="auto"/>
        <w:right w:val="none" w:sz="0" w:space="0" w:color="auto"/>
      </w:divBdr>
    </w:div>
    <w:div w:id="1786386546">
      <w:bodyDiv w:val="1"/>
      <w:marLeft w:val="0"/>
      <w:marRight w:val="0"/>
      <w:marTop w:val="0"/>
      <w:marBottom w:val="0"/>
      <w:divBdr>
        <w:top w:val="none" w:sz="0" w:space="0" w:color="auto"/>
        <w:left w:val="none" w:sz="0" w:space="0" w:color="auto"/>
        <w:bottom w:val="none" w:sz="0" w:space="0" w:color="auto"/>
        <w:right w:val="none" w:sz="0" w:space="0" w:color="auto"/>
      </w:divBdr>
    </w:div>
    <w:div w:id="1794126989">
      <w:bodyDiv w:val="1"/>
      <w:marLeft w:val="0"/>
      <w:marRight w:val="0"/>
      <w:marTop w:val="0"/>
      <w:marBottom w:val="0"/>
      <w:divBdr>
        <w:top w:val="none" w:sz="0" w:space="0" w:color="auto"/>
        <w:left w:val="none" w:sz="0" w:space="0" w:color="auto"/>
        <w:bottom w:val="none" w:sz="0" w:space="0" w:color="auto"/>
        <w:right w:val="none" w:sz="0" w:space="0" w:color="auto"/>
      </w:divBdr>
    </w:div>
    <w:div w:id="1818305196">
      <w:bodyDiv w:val="1"/>
      <w:marLeft w:val="0"/>
      <w:marRight w:val="0"/>
      <w:marTop w:val="0"/>
      <w:marBottom w:val="0"/>
      <w:divBdr>
        <w:top w:val="none" w:sz="0" w:space="0" w:color="auto"/>
        <w:left w:val="none" w:sz="0" w:space="0" w:color="auto"/>
        <w:bottom w:val="none" w:sz="0" w:space="0" w:color="auto"/>
        <w:right w:val="none" w:sz="0" w:space="0" w:color="auto"/>
      </w:divBdr>
    </w:div>
    <w:div w:id="1863323799">
      <w:bodyDiv w:val="1"/>
      <w:marLeft w:val="0"/>
      <w:marRight w:val="0"/>
      <w:marTop w:val="0"/>
      <w:marBottom w:val="0"/>
      <w:divBdr>
        <w:top w:val="none" w:sz="0" w:space="0" w:color="auto"/>
        <w:left w:val="none" w:sz="0" w:space="0" w:color="auto"/>
        <w:bottom w:val="none" w:sz="0" w:space="0" w:color="auto"/>
        <w:right w:val="none" w:sz="0" w:space="0" w:color="auto"/>
      </w:divBdr>
    </w:div>
    <w:div w:id="1890729334">
      <w:bodyDiv w:val="1"/>
      <w:marLeft w:val="0"/>
      <w:marRight w:val="0"/>
      <w:marTop w:val="0"/>
      <w:marBottom w:val="0"/>
      <w:divBdr>
        <w:top w:val="none" w:sz="0" w:space="0" w:color="auto"/>
        <w:left w:val="none" w:sz="0" w:space="0" w:color="auto"/>
        <w:bottom w:val="none" w:sz="0" w:space="0" w:color="auto"/>
        <w:right w:val="none" w:sz="0" w:space="0" w:color="auto"/>
      </w:divBdr>
    </w:div>
    <w:div w:id="1935674166">
      <w:bodyDiv w:val="1"/>
      <w:marLeft w:val="0"/>
      <w:marRight w:val="0"/>
      <w:marTop w:val="0"/>
      <w:marBottom w:val="0"/>
      <w:divBdr>
        <w:top w:val="none" w:sz="0" w:space="0" w:color="auto"/>
        <w:left w:val="none" w:sz="0" w:space="0" w:color="auto"/>
        <w:bottom w:val="none" w:sz="0" w:space="0" w:color="auto"/>
        <w:right w:val="none" w:sz="0" w:space="0" w:color="auto"/>
      </w:divBdr>
    </w:div>
    <w:div w:id="1952855261">
      <w:bodyDiv w:val="1"/>
      <w:marLeft w:val="0"/>
      <w:marRight w:val="0"/>
      <w:marTop w:val="0"/>
      <w:marBottom w:val="0"/>
      <w:divBdr>
        <w:top w:val="none" w:sz="0" w:space="0" w:color="auto"/>
        <w:left w:val="none" w:sz="0" w:space="0" w:color="auto"/>
        <w:bottom w:val="none" w:sz="0" w:space="0" w:color="auto"/>
        <w:right w:val="none" w:sz="0" w:space="0" w:color="auto"/>
      </w:divBdr>
    </w:div>
    <w:div w:id="1975981208">
      <w:bodyDiv w:val="1"/>
      <w:marLeft w:val="0"/>
      <w:marRight w:val="0"/>
      <w:marTop w:val="0"/>
      <w:marBottom w:val="0"/>
      <w:divBdr>
        <w:top w:val="none" w:sz="0" w:space="0" w:color="auto"/>
        <w:left w:val="none" w:sz="0" w:space="0" w:color="auto"/>
        <w:bottom w:val="none" w:sz="0" w:space="0" w:color="auto"/>
        <w:right w:val="none" w:sz="0" w:space="0" w:color="auto"/>
      </w:divBdr>
    </w:div>
    <w:div w:id="2048527559">
      <w:bodyDiv w:val="1"/>
      <w:marLeft w:val="0"/>
      <w:marRight w:val="0"/>
      <w:marTop w:val="0"/>
      <w:marBottom w:val="0"/>
      <w:divBdr>
        <w:top w:val="none" w:sz="0" w:space="0" w:color="auto"/>
        <w:left w:val="none" w:sz="0" w:space="0" w:color="auto"/>
        <w:bottom w:val="none" w:sz="0" w:space="0" w:color="auto"/>
        <w:right w:val="none" w:sz="0" w:space="0" w:color="auto"/>
      </w:divBdr>
    </w:div>
    <w:div w:id="2056545441">
      <w:bodyDiv w:val="1"/>
      <w:marLeft w:val="0"/>
      <w:marRight w:val="0"/>
      <w:marTop w:val="0"/>
      <w:marBottom w:val="0"/>
      <w:divBdr>
        <w:top w:val="none" w:sz="0" w:space="0" w:color="auto"/>
        <w:left w:val="none" w:sz="0" w:space="0" w:color="auto"/>
        <w:bottom w:val="none" w:sz="0" w:space="0" w:color="auto"/>
        <w:right w:val="none" w:sz="0" w:space="0" w:color="auto"/>
      </w:divBdr>
    </w:div>
    <w:div w:id="213008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ca.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E616F0DCC4D87A86247859992315B"/>
        <w:category>
          <w:name w:val="General"/>
          <w:gallery w:val="placeholder"/>
        </w:category>
        <w:types>
          <w:type w:val="bbPlcHdr"/>
        </w:types>
        <w:behaviors>
          <w:behavior w:val="content"/>
        </w:behaviors>
        <w:guid w:val="{B7A50577-28F0-45F3-818E-9C19F5E011E2}"/>
      </w:docPartPr>
      <w:docPartBody>
        <w:p w:rsidR="004F6567" w:rsidRDefault="00310B49" w:rsidP="00310B49">
          <w:pPr>
            <w:pStyle w:val="039E616F0DCC4D87A86247859992315B"/>
          </w:pPr>
          <w:r w:rsidRPr="00627C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49"/>
    <w:rsid w:val="00310B49"/>
    <w:rsid w:val="004F6567"/>
    <w:rsid w:val="00864403"/>
    <w:rsid w:val="00905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B49"/>
    <w:rPr>
      <w:color w:val="808080"/>
    </w:rPr>
  </w:style>
  <w:style w:type="paragraph" w:customStyle="1" w:styleId="039E616F0DCC4D87A86247859992315B">
    <w:name w:val="039E616F0DCC4D87A86247859992315B"/>
    <w:rsid w:val="00310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CCA20F30BF541B338E28A6C025F7C" ma:contentTypeVersion="6" ma:contentTypeDescription="Create a new document." ma:contentTypeScope="" ma:versionID="4dae330c7173aea9112859ce6ac00aef">
  <xsd:schema xmlns:xsd="http://www.w3.org/2001/XMLSchema" xmlns:xs="http://www.w3.org/2001/XMLSchema" xmlns:p="http://schemas.microsoft.com/office/2006/metadata/properties" xmlns:ns2="01e3028c-a99d-4c01-b21a-14f1c3342127" xmlns:ns3="7950e26f-2adc-4a72-bda0-1f45fea3cbcf" targetNamespace="http://schemas.microsoft.com/office/2006/metadata/properties" ma:root="true" ma:fieldsID="ffc0479dd9fbe54ef3d10a1774a3c742" ns2:_="" ns3:_="">
    <xsd:import namespace="01e3028c-a99d-4c01-b21a-14f1c3342127"/>
    <xsd:import namespace="7950e26f-2adc-4a72-bda0-1f45fea3cb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028c-a99d-4c01-b21a-14f1c3342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50e26f-2adc-4a72-bda0-1f45fea3c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84D56-89B8-401E-90E8-B7B9C72A3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E1F223-0A3F-471C-AE04-C91BF01BEDF4}">
  <ds:schemaRefs>
    <ds:schemaRef ds:uri="http://schemas.microsoft.com/sharepoint/v3/contenttype/forms"/>
  </ds:schemaRefs>
</ds:datastoreItem>
</file>

<file path=customXml/itemProps3.xml><?xml version="1.0" encoding="utf-8"?>
<ds:datastoreItem xmlns:ds="http://schemas.openxmlformats.org/officeDocument/2006/customXml" ds:itemID="{764EF531-FDCD-4C3A-998E-CA3338E92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028c-a99d-4c01-b21a-14f1c3342127"/>
    <ds:schemaRef ds:uri="7950e26f-2adc-4a72-bda0-1f45fea3c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5640</Words>
  <Characters>32152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Absence Policy</vt:lpstr>
    </vt:vector>
  </TitlesOfParts>
  <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Moonraker Motorcycles Ltd                     Anti-Money Laundering Policy</dc:title>
  <dc:subject/>
  <dc:creator>Hannah Crichton-Readey</dc:creator>
  <cp:keywords/>
  <dc:description/>
  <cp:lastModifiedBy>Paul Clarke</cp:lastModifiedBy>
  <cp:revision>3</cp:revision>
  <cp:lastPrinted>2021-09-02T14:41:00Z</cp:lastPrinted>
  <dcterms:created xsi:type="dcterms:W3CDTF">2024-02-08T13:21:00Z</dcterms:created>
  <dcterms:modified xsi:type="dcterms:W3CDTF">2024-02-08T14:16:00Z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0x010100CEFCCA20F30BF541B338E28A6C025F7C</vt:lpwstr>
  </property>
</Properties>
</file>